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FBE42" w14:textId="77777777" w:rsidR="00B0425E" w:rsidRDefault="00000000">
      <w:pPr>
        <w:spacing w:before="0" w:line="240" w:lineRule="auto"/>
        <w:jc w:val="right"/>
        <w:rPr>
          <w:b/>
          <w:color w:val="937AB2"/>
        </w:rPr>
      </w:pPr>
      <w:r>
        <w:rPr>
          <w:noProof/>
        </w:rPr>
        <w:drawing>
          <wp:anchor distT="152400" distB="152400" distL="152400" distR="152400" simplePos="0" relativeHeight="251658240" behindDoc="0" locked="0" layoutInCell="1" hidden="0" allowOverlap="1" wp14:anchorId="4D7D7CA1" wp14:editId="62231131">
            <wp:simplePos x="0" y="0"/>
            <wp:positionH relativeFrom="page">
              <wp:posOffset>6019800</wp:posOffset>
            </wp:positionH>
            <wp:positionV relativeFrom="page">
              <wp:posOffset>1057275</wp:posOffset>
            </wp:positionV>
            <wp:extent cx="465455" cy="419100"/>
            <wp:effectExtent l="0" t="0" r="0" b="0"/>
            <wp:wrapSquare wrapText="bothSides" distT="152400" distB="152400" distL="152400" distR="152400"/>
            <wp:docPr id="10737418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5455" cy="419100"/>
                    </a:xfrm>
                    <a:prstGeom prst="rect">
                      <a:avLst/>
                    </a:prstGeom>
                    <a:ln/>
                  </pic:spPr>
                </pic:pic>
              </a:graphicData>
            </a:graphic>
          </wp:anchor>
        </w:drawing>
      </w:r>
      <w:r>
        <w:rPr>
          <w:noProof/>
        </w:rPr>
        <w:drawing>
          <wp:anchor distT="152400" distB="152400" distL="152400" distR="152400" simplePos="0" relativeHeight="251659264" behindDoc="0" locked="0" layoutInCell="1" hidden="0" allowOverlap="1" wp14:anchorId="7657636F" wp14:editId="118E82FA">
            <wp:simplePos x="0" y="0"/>
            <wp:positionH relativeFrom="page">
              <wp:posOffset>5400675</wp:posOffset>
            </wp:positionH>
            <wp:positionV relativeFrom="page">
              <wp:posOffset>1038226</wp:posOffset>
            </wp:positionV>
            <wp:extent cx="462280" cy="438150"/>
            <wp:effectExtent l="0" t="0" r="0" b="0"/>
            <wp:wrapSquare wrapText="bothSides" distT="152400" distB="152400" distL="152400" distR="152400"/>
            <wp:docPr id="1073741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2280" cy="438150"/>
                    </a:xfrm>
                    <a:prstGeom prst="rect">
                      <a:avLst/>
                    </a:prstGeom>
                    <a:ln/>
                  </pic:spPr>
                </pic:pic>
              </a:graphicData>
            </a:graphic>
          </wp:anchor>
        </w:drawing>
      </w:r>
    </w:p>
    <w:p w14:paraId="2062D7D3" w14:textId="77777777" w:rsidR="00B0425E" w:rsidRDefault="00000000">
      <w:pPr>
        <w:tabs>
          <w:tab w:val="left" w:pos="5970"/>
        </w:tabs>
        <w:jc w:val="left"/>
        <w:rPr>
          <w:b/>
        </w:rPr>
      </w:pPr>
      <w:r>
        <w:rPr>
          <w:b/>
          <w:color w:val="937AB2"/>
        </w:rPr>
        <w:tab/>
      </w:r>
    </w:p>
    <w:p w14:paraId="0AFE7839" w14:textId="77777777" w:rsidR="00B0425E" w:rsidRDefault="00B0425E">
      <w:pPr>
        <w:rPr>
          <w:b/>
        </w:rPr>
      </w:pPr>
    </w:p>
    <w:p w14:paraId="5F56C985" w14:textId="77777777" w:rsidR="00B0425E" w:rsidRDefault="00000000">
      <w:pPr>
        <w:rPr>
          <w:color w:val="000000"/>
          <w:sz w:val="22"/>
          <w:szCs w:val="22"/>
        </w:rPr>
      </w:pPr>
      <w:r>
        <w:rPr>
          <w:noProof/>
        </w:rPr>
        <w:drawing>
          <wp:anchor distT="152400" distB="152400" distL="152400" distR="152400" simplePos="0" relativeHeight="251660288" behindDoc="0" locked="0" layoutInCell="1" hidden="0" allowOverlap="1" wp14:anchorId="234368CB" wp14:editId="6C180185">
            <wp:simplePos x="0" y="0"/>
            <wp:positionH relativeFrom="page">
              <wp:posOffset>5373933</wp:posOffset>
            </wp:positionH>
            <wp:positionV relativeFrom="page">
              <wp:posOffset>675640</wp:posOffset>
            </wp:positionV>
            <wp:extent cx="1139054" cy="364853"/>
            <wp:effectExtent l="0" t="0" r="0" b="0"/>
            <wp:wrapSquare wrapText="bothSides" distT="152400" distB="152400" distL="152400" distR="152400"/>
            <wp:docPr id="10737418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139054" cy="364853"/>
                    </a:xfrm>
                    <a:prstGeom prst="rect">
                      <a:avLst/>
                    </a:prstGeom>
                    <a:ln/>
                  </pic:spPr>
                </pic:pic>
              </a:graphicData>
            </a:graphic>
          </wp:anchor>
        </w:drawing>
      </w:r>
      <w:r>
        <w:rPr>
          <w:noProof/>
          <w:color w:val="000000"/>
          <w:sz w:val="50"/>
          <w:szCs w:val="50"/>
        </w:rPr>
        <w:drawing>
          <wp:anchor distT="152400" distB="152400" distL="152400" distR="152400" simplePos="0" relativeHeight="251661312" behindDoc="0" locked="0" layoutInCell="1" hidden="0" allowOverlap="1" wp14:anchorId="6FFF39FC" wp14:editId="2D605D54">
            <wp:simplePos x="0" y="0"/>
            <wp:positionH relativeFrom="margin">
              <wp:posOffset>1643104</wp:posOffset>
            </wp:positionH>
            <wp:positionV relativeFrom="page">
              <wp:posOffset>551767</wp:posOffset>
            </wp:positionV>
            <wp:extent cx="2717165" cy="1259205"/>
            <wp:effectExtent l="0" t="0" r="0" b="0"/>
            <wp:wrapSquare wrapText="bothSides" distT="152400" distB="152400" distL="152400" distR="152400"/>
            <wp:docPr id="10737418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17165" cy="1259205"/>
                    </a:xfrm>
                    <a:prstGeom prst="rect">
                      <a:avLst/>
                    </a:prstGeom>
                    <a:ln/>
                  </pic:spPr>
                </pic:pic>
              </a:graphicData>
            </a:graphic>
          </wp:anchor>
        </w:drawing>
      </w:r>
      <w:r>
        <w:rPr>
          <w:noProof/>
          <w:color w:val="000000"/>
        </w:rPr>
        <w:drawing>
          <wp:anchor distT="152400" distB="152400" distL="152400" distR="152400" simplePos="0" relativeHeight="251662336" behindDoc="0" locked="0" layoutInCell="1" hidden="0" allowOverlap="1" wp14:anchorId="64E91ED4" wp14:editId="5E509783">
            <wp:simplePos x="0" y="0"/>
            <wp:positionH relativeFrom="margin">
              <wp:posOffset>-177164</wp:posOffset>
            </wp:positionH>
            <wp:positionV relativeFrom="page">
              <wp:posOffset>474344</wp:posOffset>
            </wp:positionV>
            <wp:extent cx="1500505" cy="1388745"/>
            <wp:effectExtent l="0" t="0" r="0" b="0"/>
            <wp:wrapSquare wrapText="bothSides" distT="152400" distB="152400" distL="152400" distR="152400"/>
            <wp:docPr id="10737418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500505" cy="1388745"/>
                    </a:xfrm>
                    <a:prstGeom prst="rect">
                      <a:avLst/>
                    </a:prstGeom>
                    <a:ln/>
                  </pic:spPr>
                </pic:pic>
              </a:graphicData>
            </a:graphic>
          </wp:anchor>
        </w:drawing>
      </w:r>
    </w:p>
    <w:p w14:paraId="1F7DD09B"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6" w:line="278" w:lineRule="auto"/>
        <w:rPr>
          <w:color w:val="000000"/>
          <w:sz w:val="22"/>
          <w:szCs w:val="22"/>
        </w:rPr>
      </w:pPr>
    </w:p>
    <w:p w14:paraId="38B88341" w14:textId="77777777" w:rsidR="00B0425E" w:rsidRDefault="00000000">
      <w:pPr>
        <w:widowControl w:val="0"/>
        <w:pBdr>
          <w:top w:val="nil"/>
          <w:left w:val="nil"/>
          <w:bottom w:val="nil"/>
          <w:right w:val="nil"/>
          <w:between w:val="nil"/>
        </w:pBdr>
        <w:shd w:val="clear" w:color="auto" w:fill="E7C7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5" w:line="240" w:lineRule="auto"/>
        <w:ind w:right="722"/>
        <w:jc w:val="center"/>
        <w:rPr>
          <w:rFonts w:ascii="Cutive" w:eastAsia="Cutive" w:hAnsi="Cutive" w:cs="Cutive"/>
          <w:b/>
          <w:color w:val="000000"/>
          <w:sz w:val="48"/>
          <w:szCs w:val="48"/>
        </w:rPr>
      </w:pPr>
      <w:r>
        <w:rPr>
          <w:rFonts w:ascii="Cutive" w:eastAsia="Cutive" w:hAnsi="Cutive" w:cs="Cutive"/>
          <w:b/>
          <w:color w:val="000000"/>
          <w:sz w:val="48"/>
          <w:szCs w:val="48"/>
        </w:rPr>
        <w:t>INVESTIGACIONES SOBRE LECTURA</w:t>
      </w:r>
    </w:p>
    <w:p w14:paraId="19903041" w14:textId="77777777" w:rsidR="00B0425E" w:rsidRDefault="00000000">
      <w:pPr>
        <w:widowControl w:val="0"/>
        <w:pBdr>
          <w:top w:val="nil"/>
          <w:left w:val="nil"/>
          <w:bottom w:val="nil"/>
          <w:right w:val="nil"/>
          <w:between w:val="nil"/>
        </w:pBdr>
        <w:shd w:val="clear" w:color="auto" w:fill="E7C7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5" w:line="240" w:lineRule="auto"/>
        <w:ind w:right="722"/>
        <w:jc w:val="center"/>
        <w:rPr>
          <w:rFonts w:ascii="Cutive" w:eastAsia="Cutive" w:hAnsi="Cutive" w:cs="Cutive"/>
          <w:b/>
          <w:color w:val="000000"/>
          <w:sz w:val="28"/>
          <w:szCs w:val="28"/>
        </w:rPr>
      </w:pPr>
      <w:r>
        <w:rPr>
          <w:rFonts w:ascii="Cutive" w:eastAsia="Cutive" w:hAnsi="Cutive" w:cs="Cutive"/>
          <w:b/>
          <w:color w:val="000000"/>
          <w:sz w:val="28"/>
          <w:szCs w:val="28"/>
        </w:rPr>
        <w:t>ENG/ESP</w:t>
      </w:r>
    </w:p>
    <w:p w14:paraId="4B97E6B5"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722"/>
        <w:jc w:val="right"/>
        <w:rPr>
          <w:color w:val="000000"/>
        </w:rPr>
      </w:pPr>
      <w:hyperlink r:id="rId13">
        <w:r>
          <w:rPr>
            <w:rFonts w:ascii="Apple SD 산돌고딕 Neo 일반체" w:eastAsia="Apple SD 산돌고딕 Neo 일반체" w:hAnsi="Apple SD 산돌고딕 Neo 일반체" w:cs="Apple SD 산돌고딕 Neo 일반체"/>
            <w:color w:val="232323"/>
            <w:u w:val="single"/>
          </w:rPr>
          <w:t>ISSN: 2340-8665</w:t>
        </w:r>
      </w:hyperlink>
    </w:p>
    <w:p w14:paraId="1D7A9755"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722"/>
        <w:jc w:val="right"/>
        <w:rPr>
          <w:color w:val="000000"/>
          <w:sz w:val="16"/>
          <w:szCs w:val="16"/>
        </w:rPr>
      </w:pPr>
    </w:p>
    <w:p w14:paraId="030C48BC" w14:textId="3E5D6A80"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720"/>
        <w:jc w:val="center"/>
        <w:rPr>
          <w:rFonts w:ascii="Cutive" w:eastAsia="Cutive" w:hAnsi="Cutive" w:cs="Cutive"/>
          <w:b/>
          <w:color w:val="000000"/>
          <w:sz w:val="30"/>
          <w:szCs w:val="30"/>
        </w:rPr>
      </w:pPr>
      <w:bookmarkStart w:id="0" w:name="_heading=h.gjdgxs" w:colFirst="0" w:colLast="0"/>
      <w:bookmarkEnd w:id="0"/>
      <w:proofErr w:type="spellStart"/>
      <w:r>
        <w:rPr>
          <w:rFonts w:ascii="Cutive" w:eastAsia="Cutive" w:hAnsi="Cutive" w:cs="Cutive"/>
          <w:b/>
          <w:color w:val="000000"/>
          <w:sz w:val="30"/>
          <w:szCs w:val="30"/>
        </w:rPr>
        <w:t>T</w:t>
      </w:r>
      <w:r w:rsidR="00C84AC8">
        <w:rPr>
          <w:rFonts w:ascii="Cutive" w:eastAsia="Cutive" w:hAnsi="Cutive" w:cs="Cutive"/>
          <w:b/>
          <w:color w:val="000000"/>
          <w:sz w:val="30"/>
          <w:szCs w:val="30"/>
        </w:rPr>
        <w:t>he</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influence</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of</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student</w:t>
      </w:r>
      <w:proofErr w:type="spellEnd"/>
      <w:r w:rsidR="00C84AC8">
        <w:rPr>
          <w:rFonts w:ascii="Cutive" w:eastAsia="Cutive" w:hAnsi="Cutive" w:cs="Cutive"/>
          <w:b/>
          <w:color w:val="000000"/>
          <w:sz w:val="30"/>
          <w:szCs w:val="30"/>
        </w:rPr>
        <w:t xml:space="preserve"> and </w:t>
      </w:r>
      <w:proofErr w:type="spellStart"/>
      <w:r w:rsidR="00C84AC8">
        <w:rPr>
          <w:rFonts w:ascii="Cutive" w:eastAsia="Cutive" w:hAnsi="Cutive" w:cs="Cutive"/>
          <w:b/>
          <w:color w:val="000000"/>
          <w:sz w:val="30"/>
          <w:szCs w:val="30"/>
        </w:rPr>
        <w:t>school</w:t>
      </w:r>
      <w:proofErr w:type="spellEnd"/>
      <w:r w:rsidR="00C84AC8">
        <w:rPr>
          <w:rFonts w:ascii="Cutive" w:eastAsia="Cutive" w:hAnsi="Cutive" w:cs="Cutive"/>
          <w:b/>
          <w:color w:val="000000"/>
          <w:sz w:val="30"/>
          <w:szCs w:val="30"/>
        </w:rPr>
        <w:t xml:space="preserve"> predictor </w:t>
      </w:r>
      <w:proofErr w:type="spellStart"/>
      <w:r w:rsidR="00C84AC8">
        <w:rPr>
          <w:rFonts w:ascii="Cutive" w:eastAsia="Cutive" w:hAnsi="Cutive" w:cs="Cutive"/>
          <w:b/>
          <w:color w:val="000000"/>
          <w:sz w:val="30"/>
          <w:szCs w:val="30"/>
        </w:rPr>
        <w:t>on</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the</w:t>
      </w:r>
      <w:proofErr w:type="spellEnd"/>
      <w:r w:rsidR="00C84AC8">
        <w:rPr>
          <w:rFonts w:ascii="Cutive" w:eastAsia="Cutive" w:hAnsi="Cutive" w:cs="Cutive"/>
          <w:b/>
          <w:color w:val="000000"/>
          <w:sz w:val="30"/>
          <w:szCs w:val="30"/>
        </w:rPr>
        <w:t xml:space="preserve"> </w:t>
      </w:r>
      <w:proofErr w:type="spellStart"/>
      <w:r w:rsidR="002C7EA3">
        <w:rPr>
          <w:rFonts w:ascii="Cutive" w:eastAsia="Cutive" w:hAnsi="Cutive" w:cs="Cutive"/>
          <w:b/>
          <w:color w:val="000000"/>
          <w:sz w:val="30"/>
          <w:szCs w:val="30"/>
        </w:rPr>
        <w:t>r</w:t>
      </w:r>
      <w:r w:rsidR="00C84AC8">
        <w:rPr>
          <w:rFonts w:ascii="Cutive" w:eastAsia="Cutive" w:hAnsi="Cutive" w:cs="Cutive"/>
          <w:b/>
          <w:color w:val="000000"/>
          <w:sz w:val="30"/>
          <w:szCs w:val="30"/>
        </w:rPr>
        <w:t>eading</w:t>
      </w:r>
      <w:proofErr w:type="spellEnd"/>
      <w:r w:rsidR="00C84AC8">
        <w:rPr>
          <w:rFonts w:ascii="Cutive" w:eastAsia="Cutive" w:hAnsi="Cutive" w:cs="Cutive"/>
          <w:b/>
          <w:color w:val="000000"/>
          <w:sz w:val="30"/>
          <w:szCs w:val="30"/>
        </w:rPr>
        <w:t xml:space="preserve"> performance </w:t>
      </w:r>
      <w:proofErr w:type="spellStart"/>
      <w:r w:rsidR="00C84AC8">
        <w:rPr>
          <w:rFonts w:ascii="Cutive" w:eastAsia="Cutive" w:hAnsi="Cutive" w:cs="Cutive"/>
          <w:b/>
          <w:color w:val="000000"/>
          <w:sz w:val="30"/>
          <w:szCs w:val="30"/>
        </w:rPr>
        <w:t>of</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Spanish</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students</w:t>
      </w:r>
      <w:proofErr w:type="spellEnd"/>
      <w:r w:rsidR="00C84AC8">
        <w:rPr>
          <w:rFonts w:ascii="Cutive" w:eastAsia="Cutive" w:hAnsi="Cutive" w:cs="Cutive"/>
          <w:b/>
          <w:color w:val="000000"/>
          <w:sz w:val="30"/>
          <w:szCs w:val="30"/>
        </w:rPr>
        <w:t xml:space="preserve"> and </w:t>
      </w:r>
      <w:proofErr w:type="spellStart"/>
      <w:r w:rsidR="00C84AC8">
        <w:rPr>
          <w:rFonts w:ascii="Cutive" w:eastAsia="Cutive" w:hAnsi="Cutive" w:cs="Cutive"/>
          <w:b/>
          <w:color w:val="000000"/>
          <w:sz w:val="30"/>
          <w:szCs w:val="30"/>
        </w:rPr>
        <w:t>its</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implication</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for</w:t>
      </w:r>
      <w:proofErr w:type="spellEnd"/>
      <w:r w:rsidR="00C84AC8">
        <w:rPr>
          <w:rFonts w:ascii="Cutive" w:eastAsia="Cutive" w:hAnsi="Cutive" w:cs="Cutive"/>
          <w:b/>
          <w:color w:val="000000"/>
          <w:sz w:val="30"/>
          <w:szCs w:val="30"/>
        </w:rPr>
        <w:t xml:space="preserve"> </w:t>
      </w:r>
      <w:proofErr w:type="spellStart"/>
      <w:r w:rsidR="00C84AC8">
        <w:rPr>
          <w:rFonts w:ascii="Cutive" w:eastAsia="Cutive" w:hAnsi="Cutive" w:cs="Cutive"/>
          <w:b/>
          <w:color w:val="000000"/>
          <w:sz w:val="30"/>
          <w:szCs w:val="30"/>
        </w:rPr>
        <w:t>teaching</w:t>
      </w:r>
      <w:proofErr w:type="spellEnd"/>
      <w:r>
        <w:rPr>
          <w:rFonts w:ascii="Cutive" w:eastAsia="Cutive" w:hAnsi="Cutive" w:cs="Cutive"/>
          <w:b/>
          <w:color w:val="000000"/>
          <w:sz w:val="30"/>
          <w:szCs w:val="30"/>
        </w:rPr>
        <w:t xml:space="preserve"> </w:t>
      </w:r>
    </w:p>
    <w:p w14:paraId="094F1843"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5"/>
        <w:ind w:right="721"/>
        <w:rPr>
          <w:b/>
          <w:color w:val="000000"/>
          <w:sz w:val="30"/>
          <w:szCs w:val="30"/>
        </w:rPr>
      </w:pPr>
    </w:p>
    <w:p w14:paraId="3A626C27" w14:textId="70638F43"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952"/>
        <w:jc w:val="right"/>
        <w:rPr>
          <w:b/>
          <w:color w:val="000000"/>
          <w:sz w:val="24"/>
          <w:szCs w:val="24"/>
        </w:rPr>
      </w:pPr>
      <w:r>
        <w:rPr>
          <w:rFonts w:ascii="Gill Sans" w:eastAsia="Gill Sans" w:hAnsi="Gill Sans" w:cs="Gill Sans"/>
          <w:color w:val="232323"/>
          <w:sz w:val="18"/>
          <w:szCs w:val="18"/>
        </w:rPr>
        <w:t xml:space="preserve"> </w:t>
      </w:r>
      <w:r>
        <w:rPr>
          <w:noProof/>
        </w:rPr>
        <w:drawing>
          <wp:anchor distT="152400" distB="152400" distL="152400" distR="152400" simplePos="0" relativeHeight="251663360" behindDoc="0" locked="0" layoutInCell="1" hidden="0" allowOverlap="1" wp14:anchorId="54D15707" wp14:editId="6E2A2995">
            <wp:simplePos x="0" y="0"/>
            <wp:positionH relativeFrom="column">
              <wp:posOffset>5030470</wp:posOffset>
            </wp:positionH>
            <wp:positionV relativeFrom="paragraph">
              <wp:posOffset>70799</wp:posOffset>
            </wp:positionV>
            <wp:extent cx="271969" cy="271969"/>
            <wp:effectExtent l="0" t="0" r="0" b="0"/>
            <wp:wrapSquare wrapText="bothSides" distT="152400" distB="152400" distL="152400" distR="152400"/>
            <wp:docPr id="1073741863" name="image6.pn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073741863" name="image6.png">
                      <a:hlinkClick r:id="rId14"/>
                    </pic:cNvPr>
                    <pic:cNvPicPr preferRelativeResize="0"/>
                  </pic:nvPicPr>
                  <pic:blipFill>
                    <a:blip r:embed="rId15"/>
                    <a:srcRect/>
                    <a:stretch>
                      <a:fillRect/>
                    </a:stretch>
                  </pic:blipFill>
                  <pic:spPr>
                    <a:xfrm>
                      <a:off x="0" y="0"/>
                      <a:ext cx="271969" cy="271969"/>
                    </a:xfrm>
                    <a:prstGeom prst="rect">
                      <a:avLst/>
                    </a:prstGeom>
                    <a:ln/>
                  </pic:spPr>
                </pic:pic>
              </a:graphicData>
            </a:graphic>
          </wp:anchor>
        </w:drawing>
      </w:r>
      <w:r w:rsidR="002C7EA3">
        <w:rPr>
          <w:b/>
          <w:color w:val="000000"/>
          <w:sz w:val="24"/>
          <w:szCs w:val="24"/>
        </w:rPr>
        <w:t>Pablo Javier Ortega-Rodríguez</w:t>
      </w:r>
    </w:p>
    <w:p w14:paraId="6CDBEC46" w14:textId="11CA4DDB" w:rsidR="00B0425E" w:rsidRDefault="002C7EA3">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952"/>
        <w:jc w:val="right"/>
        <w:rPr>
          <w:color w:val="000099"/>
          <w:sz w:val="24"/>
          <w:szCs w:val="24"/>
          <w:u w:val="single"/>
        </w:rPr>
      </w:pPr>
      <w:hyperlink r:id="rId16" w:history="1">
        <w:r w:rsidRPr="001174C4">
          <w:rPr>
            <w:rStyle w:val="Hipervnculo"/>
            <w:sz w:val="24"/>
            <w:szCs w:val="24"/>
          </w:rPr>
          <w:t>https://orcid.org/0000-0002-1128-2360</w:t>
        </w:r>
      </w:hyperlink>
    </w:p>
    <w:p w14:paraId="4C041B5C" w14:textId="7532CD68" w:rsidR="00B0425E" w:rsidRDefault="00823301">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952"/>
        <w:jc w:val="right"/>
        <w:rPr>
          <w:color w:val="000099"/>
          <w:sz w:val="24"/>
          <w:szCs w:val="24"/>
          <w:u w:val="single"/>
        </w:rPr>
      </w:pPr>
      <w:proofErr w:type="spellStart"/>
      <w:r>
        <w:rPr>
          <w:i/>
          <w:color w:val="000000"/>
          <w:sz w:val="24"/>
          <w:szCs w:val="24"/>
        </w:rPr>
        <w:t>Autonomous</w:t>
      </w:r>
      <w:proofErr w:type="spellEnd"/>
      <w:r>
        <w:rPr>
          <w:i/>
          <w:color w:val="000000"/>
          <w:sz w:val="24"/>
          <w:szCs w:val="24"/>
        </w:rPr>
        <w:t xml:space="preserve"> </w:t>
      </w:r>
      <w:proofErr w:type="spellStart"/>
      <w:r>
        <w:rPr>
          <w:i/>
          <w:color w:val="000000"/>
          <w:sz w:val="24"/>
          <w:szCs w:val="24"/>
        </w:rPr>
        <w:t>University</w:t>
      </w:r>
      <w:proofErr w:type="spellEnd"/>
      <w:r>
        <w:rPr>
          <w:i/>
          <w:color w:val="000000"/>
          <w:sz w:val="24"/>
          <w:szCs w:val="24"/>
        </w:rPr>
        <w:t xml:space="preserve"> </w:t>
      </w:r>
      <w:proofErr w:type="spellStart"/>
      <w:r>
        <w:rPr>
          <w:i/>
          <w:color w:val="000000"/>
          <w:sz w:val="24"/>
          <w:szCs w:val="24"/>
        </w:rPr>
        <w:t>of</w:t>
      </w:r>
      <w:proofErr w:type="spellEnd"/>
      <w:r w:rsidR="002C7EA3">
        <w:rPr>
          <w:i/>
          <w:color w:val="000000"/>
          <w:sz w:val="24"/>
          <w:szCs w:val="24"/>
        </w:rPr>
        <w:t xml:space="preserve"> Madrid, </w:t>
      </w:r>
      <w:proofErr w:type="spellStart"/>
      <w:r>
        <w:rPr>
          <w:i/>
          <w:color w:val="000000"/>
          <w:sz w:val="24"/>
          <w:szCs w:val="24"/>
        </w:rPr>
        <w:t>Spain</w:t>
      </w:r>
      <w:proofErr w:type="spellEnd"/>
    </w:p>
    <w:p w14:paraId="25AFF916"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08"/>
        <w:jc w:val="right"/>
        <w:rPr>
          <w:color w:val="000000"/>
        </w:rPr>
      </w:pPr>
      <w:r>
        <w:rPr>
          <w:color w:val="000000"/>
          <w:u w:val="single"/>
        </w:rPr>
        <w:t>Https:/10.24310/isl.vi15.XXXXX</w:t>
      </w:r>
      <w:r>
        <w:rPr>
          <w:color w:val="000000"/>
        </w:rPr>
        <w:t xml:space="preserve"> </w:t>
      </w:r>
      <w:r>
        <w:rPr>
          <w:noProof/>
        </w:rPr>
        <w:drawing>
          <wp:anchor distT="152400" distB="152400" distL="152400" distR="152400" simplePos="0" relativeHeight="251665408" behindDoc="0" locked="0" layoutInCell="1" hidden="0" allowOverlap="1" wp14:anchorId="22CBBB54" wp14:editId="7CDE41FB">
            <wp:simplePos x="0" y="0"/>
            <wp:positionH relativeFrom="column">
              <wp:posOffset>5024431</wp:posOffset>
            </wp:positionH>
            <wp:positionV relativeFrom="paragraph">
              <wp:posOffset>39372</wp:posOffset>
            </wp:positionV>
            <wp:extent cx="279400" cy="279400"/>
            <wp:effectExtent l="0" t="0" r="0" b="0"/>
            <wp:wrapSquare wrapText="bothSides" distT="152400" distB="152400" distL="152400" distR="152400"/>
            <wp:docPr id="10737418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79400" cy="279400"/>
                    </a:xfrm>
                    <a:prstGeom prst="rect">
                      <a:avLst/>
                    </a:prstGeom>
                    <a:ln/>
                  </pic:spPr>
                </pic:pic>
              </a:graphicData>
            </a:graphic>
          </wp:anchor>
        </w:drawing>
      </w:r>
    </w:p>
    <w:p w14:paraId="6AF38925"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08"/>
        <w:jc w:val="right"/>
        <w:rPr>
          <w:color w:val="000000"/>
        </w:rPr>
      </w:pPr>
      <w:r>
        <w:rPr>
          <w:color w:val="000000"/>
        </w:rPr>
        <w:t xml:space="preserve"> </w:t>
      </w:r>
    </w:p>
    <w:p w14:paraId="1BE14D93" w14:textId="25FB28F1"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b/>
          <w:color w:val="000000"/>
        </w:rPr>
      </w:pPr>
      <w:proofErr w:type="spellStart"/>
      <w:r>
        <w:rPr>
          <w:b/>
          <w:color w:val="000000"/>
        </w:rPr>
        <w:t>Reception</w:t>
      </w:r>
      <w:proofErr w:type="spellEnd"/>
      <w:r>
        <w:rPr>
          <w:b/>
          <w:color w:val="000000"/>
        </w:rPr>
        <w:t xml:space="preserve">: </w:t>
      </w:r>
      <w:r w:rsidR="00E17DD7">
        <w:rPr>
          <w:color w:val="000000"/>
        </w:rPr>
        <w:t>01/10/2024</w:t>
      </w:r>
    </w:p>
    <w:p w14:paraId="2D69C111"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color w:val="000000"/>
        </w:rPr>
      </w:pPr>
      <w:proofErr w:type="spellStart"/>
      <w:r>
        <w:rPr>
          <w:b/>
          <w:color w:val="000000"/>
        </w:rPr>
        <w:t>Acceptation</w:t>
      </w:r>
      <w:proofErr w:type="spellEnd"/>
      <w:r>
        <w:rPr>
          <w:b/>
          <w:color w:val="000000"/>
        </w:rPr>
        <w:t xml:space="preserve">: </w:t>
      </w:r>
      <w:r>
        <w:rPr>
          <w:color w:val="000000"/>
        </w:rPr>
        <w:t>día mes año</w:t>
      </w:r>
    </w:p>
    <w:p w14:paraId="4D2079A6" w14:textId="42FF7388"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b/>
          <w:color w:val="000000"/>
        </w:rPr>
        <w:sectPr w:rsidR="00B0425E">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701" w:left="1134" w:header="709" w:footer="283" w:gutter="0"/>
          <w:pgNumType w:start="46"/>
          <w:cols w:space="720"/>
        </w:sectPr>
      </w:pPr>
      <w:proofErr w:type="spellStart"/>
      <w:r>
        <w:rPr>
          <w:b/>
          <w:color w:val="000000"/>
        </w:rPr>
        <w:t>Contact</w:t>
      </w:r>
      <w:proofErr w:type="spellEnd"/>
      <w:r>
        <w:rPr>
          <w:color w:val="000000"/>
        </w:rPr>
        <w:t xml:space="preserve">: </w:t>
      </w:r>
      <w:r w:rsidR="00D03698">
        <w:rPr>
          <w:color w:val="232323"/>
          <w:u w:val="single"/>
        </w:rPr>
        <w:t>pabloj.ortega@uam.es</w:t>
      </w:r>
    </w:p>
    <w:p w14:paraId="71E7B24A"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b/>
          <w:color w:val="000000"/>
        </w:rPr>
      </w:pPr>
      <w:proofErr w:type="spellStart"/>
      <w:r>
        <w:rPr>
          <w:b/>
          <w:color w:val="000000"/>
        </w:rPr>
        <w:t>Abstract</w:t>
      </w:r>
      <w:proofErr w:type="spellEnd"/>
      <w:r>
        <w:rPr>
          <w:b/>
          <w:color w:val="000000"/>
        </w:rPr>
        <w:t>:</w:t>
      </w:r>
    </w:p>
    <w:p w14:paraId="60AFAAAE"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b/>
          <w:color w:val="000000"/>
        </w:rPr>
      </w:pPr>
    </w:p>
    <w:p w14:paraId="60195EB9" w14:textId="77777777" w:rsidR="001B3FFC" w:rsidRPr="001B3FFC" w:rsidRDefault="001B3FFC" w:rsidP="001B3FFC">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lang w:val="en-US"/>
        </w:rPr>
      </w:pPr>
      <w:r w:rsidRPr="001B3FFC">
        <w:rPr>
          <w:color w:val="000000"/>
          <w:lang w:val="en-US"/>
        </w:rPr>
        <w:t>Research has shown the influence of students´ and school factors on performance in secondary education. However, more knowledge of the influence of these factors on primary education following the Covid-19 pandemic is needed. This article aims to predict the influence of students and school factors on reading performance. The sample comprises 8551 fourth-grade students from Spain (52.1% boys, 47.9% girls) who participated in the PIRLS 2021 study. Three questionnaires were used (school, home and students). A hierarchical linear modeling with two levels was used: students and school. The results show that students´ factors contribute to the variance in performance to a greater extent than those of school. After controlling for socio-economic variable (student context), the students´ factors that best predict reading performance are years of education in early childhood education and early literacy activities at home.  As for school factors, school composition and school emphasis on academic success are the variables that best predict reading performance. These findings suggest the need to develop students´ reading skills in the family context before beginning primary education, to strengthen family–school cooperation and to design of activities between teachers, students and families to create a positive and productive environment.</w:t>
      </w:r>
    </w:p>
    <w:p w14:paraId="4B66027F"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p>
    <w:p w14:paraId="237A9BD4"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p>
    <w:p w14:paraId="1B39C262" w14:textId="75DD2AF4" w:rsidR="00B0425E" w:rsidRDefault="00000000" w:rsidP="001B3FFC">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proofErr w:type="spellStart"/>
      <w:r>
        <w:rPr>
          <w:b/>
          <w:color w:val="000000"/>
        </w:rPr>
        <w:t>Keywords</w:t>
      </w:r>
      <w:proofErr w:type="spellEnd"/>
      <w:r>
        <w:rPr>
          <w:b/>
          <w:color w:val="000000"/>
        </w:rPr>
        <w:t xml:space="preserve">: </w:t>
      </w:r>
      <w:r w:rsidR="001B3FFC" w:rsidRPr="003D0F76">
        <w:rPr>
          <w:color w:val="000000"/>
        </w:rPr>
        <w:t xml:space="preserve">Reading </w:t>
      </w:r>
      <w:proofErr w:type="spellStart"/>
      <w:r w:rsidR="001B3FFC" w:rsidRPr="003D0F76">
        <w:rPr>
          <w:color w:val="000000"/>
        </w:rPr>
        <w:t>comprehension</w:t>
      </w:r>
      <w:proofErr w:type="spellEnd"/>
      <w:r w:rsidR="001B3FFC" w:rsidRPr="003D0F76">
        <w:rPr>
          <w:color w:val="000000"/>
        </w:rPr>
        <w:t xml:space="preserve">, </w:t>
      </w:r>
      <w:proofErr w:type="spellStart"/>
      <w:r w:rsidR="001B3FFC" w:rsidRPr="003D0F76">
        <w:rPr>
          <w:color w:val="000000"/>
        </w:rPr>
        <w:t>primary</w:t>
      </w:r>
      <w:proofErr w:type="spellEnd"/>
      <w:r w:rsidR="001B3FFC" w:rsidRPr="003D0F76">
        <w:rPr>
          <w:color w:val="000000"/>
        </w:rPr>
        <w:t xml:space="preserve"> </w:t>
      </w:r>
      <w:proofErr w:type="spellStart"/>
      <w:r w:rsidR="001B3FFC" w:rsidRPr="003D0F76">
        <w:rPr>
          <w:color w:val="000000"/>
        </w:rPr>
        <w:t>education</w:t>
      </w:r>
      <w:proofErr w:type="spellEnd"/>
      <w:r w:rsidR="001B3FFC" w:rsidRPr="003D0F76">
        <w:rPr>
          <w:color w:val="000000"/>
        </w:rPr>
        <w:t xml:space="preserve">, </w:t>
      </w:r>
      <w:proofErr w:type="spellStart"/>
      <w:r w:rsidR="001B3FFC" w:rsidRPr="003D0F76">
        <w:rPr>
          <w:color w:val="000000"/>
        </w:rPr>
        <w:t>reading</w:t>
      </w:r>
      <w:proofErr w:type="spellEnd"/>
      <w:r w:rsidR="001B3FFC" w:rsidRPr="003D0F76">
        <w:rPr>
          <w:color w:val="000000"/>
        </w:rPr>
        <w:t xml:space="preserve"> </w:t>
      </w:r>
      <w:proofErr w:type="spellStart"/>
      <w:r w:rsidR="001B3FFC" w:rsidRPr="003D0F76">
        <w:rPr>
          <w:color w:val="000000"/>
        </w:rPr>
        <w:t>instruction</w:t>
      </w:r>
      <w:proofErr w:type="spellEnd"/>
      <w:r w:rsidR="001B3FFC" w:rsidRPr="003D0F76">
        <w:rPr>
          <w:color w:val="000000"/>
        </w:rPr>
        <w:t xml:space="preserve">, </w:t>
      </w:r>
      <w:proofErr w:type="spellStart"/>
      <w:r w:rsidR="001B3FFC" w:rsidRPr="003D0F76">
        <w:rPr>
          <w:color w:val="000000"/>
        </w:rPr>
        <w:t>regression</w:t>
      </w:r>
      <w:proofErr w:type="spellEnd"/>
      <w:r w:rsidR="001B3FFC" w:rsidRPr="003D0F76">
        <w:rPr>
          <w:color w:val="000000"/>
        </w:rPr>
        <w:t xml:space="preserve">, </w:t>
      </w:r>
      <w:proofErr w:type="spellStart"/>
      <w:r w:rsidR="001B3FFC" w:rsidRPr="003D0F76">
        <w:rPr>
          <w:color w:val="000000"/>
        </w:rPr>
        <w:t>reading</w:t>
      </w:r>
      <w:proofErr w:type="spellEnd"/>
      <w:r w:rsidR="001B3FFC" w:rsidRPr="003D0F76">
        <w:rPr>
          <w:color w:val="000000"/>
        </w:rPr>
        <w:t xml:space="preserve"> </w:t>
      </w:r>
      <w:proofErr w:type="spellStart"/>
      <w:r w:rsidR="001B3FFC" w:rsidRPr="003D0F76">
        <w:rPr>
          <w:color w:val="000000"/>
        </w:rPr>
        <w:t>achievement</w:t>
      </w:r>
      <w:proofErr w:type="spellEnd"/>
      <w:r w:rsidR="001B3FFC" w:rsidRPr="003D0F76">
        <w:rPr>
          <w:color w:val="000000"/>
        </w:rPr>
        <w:t>.</w:t>
      </w:r>
      <w:r>
        <w:rPr>
          <w:color w:val="000000"/>
        </w:rPr>
        <w:t xml:space="preserve"> </w:t>
      </w:r>
    </w:p>
    <w:p w14:paraId="11E2F715"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r>
        <w:rPr>
          <w:color w:val="000000"/>
        </w:rPr>
        <w:t xml:space="preserve"> </w:t>
      </w:r>
    </w:p>
    <w:p w14:paraId="4B2D8D10"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r>
        <w:rPr>
          <w:color w:val="000000"/>
        </w:rPr>
        <w:t xml:space="preserve"> </w:t>
      </w:r>
    </w:p>
    <w:p w14:paraId="2D896DA3"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sectPr w:rsidR="00B0425E">
          <w:type w:val="continuous"/>
          <w:pgSz w:w="11906" w:h="16838"/>
          <w:pgMar w:top="1701" w:right="1134" w:bottom="1701" w:left="1134" w:header="709" w:footer="283" w:gutter="0"/>
          <w:cols w:space="720"/>
        </w:sectPr>
      </w:pPr>
    </w:p>
    <w:p w14:paraId="0C3FE35B"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sectPr w:rsidR="00B0425E">
          <w:type w:val="continuous"/>
          <w:pgSz w:w="11906" w:h="16838"/>
          <w:pgMar w:top="1701" w:right="1134" w:bottom="1701" w:left="1134" w:header="709" w:footer="283" w:gutter="0"/>
          <w:cols w:space="720"/>
        </w:sectPr>
      </w:pPr>
    </w:p>
    <w:p w14:paraId="0A01C512"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sectPr w:rsidR="00B0425E">
          <w:type w:val="continuous"/>
          <w:pgSz w:w="11906" w:h="16838"/>
          <w:pgMar w:top="1701" w:right="1134" w:bottom="1701" w:left="1134" w:header="709" w:footer="283" w:gutter="0"/>
          <w:cols w:num="3" w:space="720" w:equalWidth="0">
            <w:col w:w="3043" w:space="254"/>
            <w:col w:w="3043" w:space="254"/>
            <w:col w:w="3043" w:space="0"/>
          </w:cols>
        </w:sectPr>
      </w:pPr>
    </w:p>
    <w:p w14:paraId="00F2010F" w14:textId="77777777" w:rsidR="00B0425E" w:rsidRDefault="00000000">
      <w:pPr>
        <w:widowControl w:val="0"/>
        <w:pBdr>
          <w:top w:val="nil"/>
          <w:left w:val="nil"/>
          <w:bottom w:val="nil"/>
          <w:right w:val="nil"/>
          <w:between w:val="nil"/>
        </w:pBdr>
        <w:spacing w:after="120"/>
        <w:jc w:val="left"/>
        <w:rPr>
          <w:rFonts w:ascii="Cutive" w:eastAsia="Cutive" w:hAnsi="Cutive" w:cs="Cutive"/>
          <w:b/>
          <w:color w:val="000000"/>
          <w:sz w:val="30"/>
          <w:szCs w:val="30"/>
        </w:rPr>
      </w:pPr>
      <w:r>
        <w:rPr>
          <w:rFonts w:ascii="Cutive" w:eastAsia="Cutive" w:hAnsi="Cutive" w:cs="Cutive"/>
          <w:b/>
          <w:noProof/>
          <w:color w:val="232323"/>
          <w:sz w:val="30"/>
          <w:szCs w:val="30"/>
        </w:rPr>
        <w:lastRenderedPageBreak/>
        <w:drawing>
          <wp:anchor distT="152400" distB="152400" distL="152400" distR="152400" simplePos="0" relativeHeight="251666432" behindDoc="0" locked="0" layoutInCell="1" hidden="0" allowOverlap="1" wp14:anchorId="75962A6C" wp14:editId="1CE67556">
            <wp:simplePos x="0" y="0"/>
            <wp:positionH relativeFrom="margin">
              <wp:posOffset>5080635</wp:posOffset>
            </wp:positionH>
            <wp:positionV relativeFrom="page">
              <wp:posOffset>495300</wp:posOffset>
            </wp:positionV>
            <wp:extent cx="1009650" cy="1504950"/>
            <wp:effectExtent l="0" t="0" r="0" b="0"/>
            <wp:wrapSquare wrapText="bothSides" distT="152400" distB="152400" distL="152400" distR="152400"/>
            <wp:docPr id="10737418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009650" cy="1504950"/>
                    </a:xfrm>
                    <a:prstGeom prst="rect">
                      <a:avLst/>
                    </a:prstGeom>
                    <a:ln/>
                  </pic:spPr>
                </pic:pic>
              </a:graphicData>
            </a:graphic>
          </wp:anchor>
        </w:drawing>
      </w:r>
      <w:r>
        <w:rPr>
          <w:rFonts w:ascii="Cutive" w:eastAsia="Cutive" w:hAnsi="Cutive" w:cs="Cutive"/>
          <w:b/>
          <w:noProof/>
          <w:color w:val="232323"/>
          <w:sz w:val="30"/>
          <w:szCs w:val="30"/>
        </w:rPr>
        <w:drawing>
          <wp:anchor distT="152400" distB="152400" distL="152400" distR="152400" simplePos="0" relativeHeight="251667456" behindDoc="0" locked="0" layoutInCell="1" hidden="0" allowOverlap="1" wp14:anchorId="503020B5" wp14:editId="6163AFFF">
            <wp:simplePos x="0" y="0"/>
            <wp:positionH relativeFrom="margin">
              <wp:posOffset>139700</wp:posOffset>
            </wp:positionH>
            <wp:positionV relativeFrom="page">
              <wp:posOffset>635635</wp:posOffset>
            </wp:positionV>
            <wp:extent cx="888764" cy="510073"/>
            <wp:effectExtent l="0" t="0" r="0" b="0"/>
            <wp:wrapSquare wrapText="bothSides" distT="152400" distB="152400" distL="152400" distR="152400"/>
            <wp:docPr id="10737418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888764" cy="510073"/>
                    </a:xfrm>
                    <a:prstGeom prst="rect">
                      <a:avLst/>
                    </a:prstGeom>
                    <a:ln/>
                  </pic:spPr>
                </pic:pic>
              </a:graphicData>
            </a:graphic>
          </wp:anchor>
        </w:drawing>
      </w:r>
      <w:r>
        <w:rPr>
          <w:rFonts w:ascii="Cutive" w:eastAsia="Cutive" w:hAnsi="Cutive" w:cs="Cutive"/>
          <w:b/>
          <w:noProof/>
          <w:color w:val="232323"/>
          <w:sz w:val="30"/>
          <w:szCs w:val="30"/>
        </w:rPr>
        <w:drawing>
          <wp:anchor distT="152400" distB="152400" distL="152400" distR="152400" simplePos="0" relativeHeight="251668480" behindDoc="0" locked="0" layoutInCell="1" hidden="0" allowOverlap="1" wp14:anchorId="4863A739" wp14:editId="32130A87">
            <wp:simplePos x="0" y="0"/>
            <wp:positionH relativeFrom="margin">
              <wp:posOffset>1222375</wp:posOffset>
            </wp:positionH>
            <wp:positionV relativeFrom="page">
              <wp:posOffset>889635</wp:posOffset>
            </wp:positionV>
            <wp:extent cx="730885" cy="216535"/>
            <wp:effectExtent l="0" t="0" r="0" b="0"/>
            <wp:wrapSquare wrapText="bothSides" distT="152400" distB="152400" distL="152400" distR="152400"/>
            <wp:docPr id="10737418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730885" cy="216535"/>
                    </a:xfrm>
                    <a:prstGeom prst="rect">
                      <a:avLst/>
                    </a:prstGeom>
                    <a:ln/>
                  </pic:spPr>
                </pic:pic>
              </a:graphicData>
            </a:graphic>
          </wp:anchor>
        </w:drawing>
      </w:r>
      <w:r>
        <w:rPr>
          <w:rFonts w:ascii="Cutive" w:eastAsia="Cutive" w:hAnsi="Cutive" w:cs="Cutive"/>
          <w:b/>
          <w:noProof/>
          <w:color w:val="232323"/>
          <w:sz w:val="30"/>
          <w:szCs w:val="30"/>
        </w:rPr>
        <w:drawing>
          <wp:anchor distT="152400" distB="152400" distL="152400" distR="152400" simplePos="0" relativeHeight="251669504" behindDoc="0" locked="0" layoutInCell="1" hidden="0" allowOverlap="1" wp14:anchorId="1F87A833" wp14:editId="324C671F">
            <wp:simplePos x="0" y="0"/>
            <wp:positionH relativeFrom="margin">
              <wp:posOffset>2195830</wp:posOffset>
            </wp:positionH>
            <wp:positionV relativeFrom="page">
              <wp:posOffset>682625</wp:posOffset>
            </wp:positionV>
            <wp:extent cx="1071245" cy="588645"/>
            <wp:effectExtent l="0" t="0" r="0" b="0"/>
            <wp:wrapSquare wrapText="bothSides" distT="152400" distB="152400" distL="152400" distR="152400"/>
            <wp:docPr id="10737418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071245" cy="588645"/>
                    </a:xfrm>
                    <a:prstGeom prst="rect">
                      <a:avLst/>
                    </a:prstGeom>
                    <a:ln/>
                  </pic:spPr>
                </pic:pic>
              </a:graphicData>
            </a:graphic>
          </wp:anchor>
        </w:drawing>
      </w:r>
    </w:p>
    <w:p w14:paraId="5F1F54CB"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rFonts w:ascii="Georgia" w:eastAsia="Georgia" w:hAnsi="Georgia" w:cs="Georgia"/>
          <w:b/>
          <w:color w:val="7A1C61"/>
          <w:sz w:val="26"/>
          <w:szCs w:val="26"/>
        </w:rPr>
        <w:sectPr w:rsidR="00B0425E">
          <w:headerReference w:type="default" r:id="rId28"/>
          <w:pgSz w:w="11906" w:h="16838"/>
          <w:pgMar w:top="1701" w:right="1134" w:bottom="1701" w:left="1134" w:header="709" w:footer="283" w:gutter="0"/>
          <w:cols w:space="720"/>
        </w:sectPr>
      </w:pPr>
      <w:bookmarkStart w:id="1" w:name="_heading=h.30j0zll" w:colFirst="0" w:colLast="0"/>
      <w:bookmarkEnd w:id="1"/>
      <w:r>
        <w:rPr>
          <w:rFonts w:ascii="Cutive" w:eastAsia="Cutive" w:hAnsi="Cutive" w:cs="Cutive"/>
          <w:b/>
          <w:color w:val="000000"/>
          <w:sz w:val="30"/>
          <w:szCs w:val="30"/>
        </w:rPr>
        <w:t>Título de la propuesta en inglés</w:t>
      </w:r>
    </w:p>
    <w:p w14:paraId="5004E05D"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rFonts w:ascii="Georgia" w:eastAsia="Georgia" w:hAnsi="Georgia" w:cs="Georgia"/>
          <w:b/>
          <w:color w:val="7A1C61"/>
          <w:sz w:val="26"/>
          <w:szCs w:val="26"/>
        </w:rPr>
      </w:pPr>
      <w:r>
        <w:rPr>
          <w:rFonts w:ascii="Georgia" w:eastAsia="Georgia" w:hAnsi="Georgia" w:cs="Georgia"/>
          <w:b/>
          <w:color w:val="7A1C61"/>
          <w:sz w:val="26"/>
          <w:szCs w:val="26"/>
        </w:rPr>
        <w:t>INTRODUCTION</w:t>
      </w:r>
    </w:p>
    <w:p w14:paraId="66203550" w14:textId="77777777" w:rsidR="00B0425E" w:rsidRDefault="00000000">
      <w:pPr>
        <w:keepNext/>
        <w:pBdr>
          <w:bottom w:val="none" w:sz="0" w:space="0" w:color="000000"/>
          <w:right w:val="none" w:sz="0" w:space="0" w:color="000000"/>
        </w:pBdr>
        <w:spacing w:line="793" w:lineRule="auto"/>
        <w:rPr>
          <w:sz w:val="166"/>
          <w:szCs w:val="166"/>
          <w:vertAlign w:val="subscript"/>
        </w:rPr>
      </w:pPr>
      <w:r>
        <w:rPr>
          <w:sz w:val="166"/>
          <w:szCs w:val="166"/>
          <w:vertAlign w:val="subscript"/>
        </w:rPr>
        <w:t>T</w:t>
      </w:r>
    </w:p>
    <w:p w14:paraId="7CAA1C9E" w14:textId="77777777" w:rsidR="00B0425E" w:rsidRDefault="00000000">
      <w:proofErr w:type="spellStart"/>
      <w:r>
        <w:t>his</w:t>
      </w:r>
      <w:proofErr w:type="spellEnd"/>
      <w:r>
        <w:t xml:space="preserve"> </w:t>
      </w:r>
      <w:proofErr w:type="spellStart"/>
      <w:r>
        <w:t>study</w:t>
      </w:r>
      <w:proofErr w:type="spellEnd"/>
      <w:r>
        <w:t xml:space="preserve"> </w:t>
      </w:r>
      <w:proofErr w:type="spellStart"/>
      <w:r>
        <w:t>aims</w:t>
      </w:r>
      <w:proofErr w:type="spellEnd"/>
      <w:r>
        <w:t xml:space="preserve"> </w:t>
      </w:r>
      <w:proofErr w:type="spellStart"/>
      <w:r>
        <w:t>to</w:t>
      </w:r>
      <w:proofErr w:type="spellEnd"/>
      <w:r>
        <w:t xml:space="preserve"> </w:t>
      </w:r>
      <w:proofErr w:type="spellStart"/>
      <w:r>
        <w:t>analyze</w:t>
      </w:r>
      <w:proofErr w:type="spellEnd"/>
      <w:r>
        <w:t xml:space="preserve"> </w:t>
      </w:r>
      <w:proofErr w:type="spellStart"/>
      <w:r>
        <w:t>the</w:t>
      </w:r>
      <w:proofErr w:type="spellEnd"/>
      <w:r>
        <w:t xml:space="preserve"> role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p>
    <w:p w14:paraId="2518E272"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rFonts w:ascii="Georgia" w:eastAsia="Georgia" w:hAnsi="Georgia" w:cs="Georgia"/>
          <w:b/>
          <w:color w:val="7A1C61"/>
          <w:sz w:val="26"/>
          <w:szCs w:val="26"/>
        </w:rPr>
      </w:pPr>
      <w:r>
        <w:rPr>
          <w:rFonts w:ascii="Georgia" w:eastAsia="Georgia" w:hAnsi="Georgia" w:cs="Georgia"/>
          <w:b/>
          <w:color w:val="7A1C61"/>
          <w:sz w:val="26"/>
          <w:szCs w:val="26"/>
        </w:rPr>
        <w:t xml:space="preserve">METHODOLOGY </w:t>
      </w:r>
    </w:p>
    <w:p w14:paraId="46B3EB6E" w14:textId="77777777" w:rsidR="00B0425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color w:val="000000"/>
        </w:rPr>
      </w:pPr>
      <w:proofErr w:type="spellStart"/>
      <w:r>
        <w:rPr>
          <w:i/>
          <w:color w:val="000000"/>
        </w:rPr>
        <w:t>Participants</w:t>
      </w:r>
      <w:proofErr w:type="spellEnd"/>
    </w:p>
    <w:p w14:paraId="7F5BC7C1" w14:textId="77777777" w:rsidR="00B0425E" w:rsidRDefault="00000000">
      <w:pPr>
        <w:keepNext/>
        <w:pBdr>
          <w:bottom w:val="none" w:sz="0" w:space="0" w:color="000000"/>
          <w:right w:val="none" w:sz="0" w:space="0" w:color="000000"/>
        </w:pBdr>
        <w:spacing w:line="793" w:lineRule="auto"/>
        <w:rPr>
          <w:color w:val="000000"/>
          <w:sz w:val="166"/>
          <w:szCs w:val="166"/>
          <w:vertAlign w:val="subscript"/>
        </w:rPr>
      </w:pPr>
      <w:r>
        <w:rPr>
          <w:color w:val="000000"/>
          <w:sz w:val="166"/>
          <w:szCs w:val="166"/>
          <w:vertAlign w:val="subscript"/>
        </w:rPr>
        <w:t>A</w:t>
      </w:r>
    </w:p>
    <w:p w14:paraId="7F0B2D6C" w14:textId="77777777" w:rsidR="00B0425E" w:rsidRDefault="00000000">
      <w:pPr>
        <w:rPr>
          <w:color w:val="000000"/>
        </w:rPr>
      </w:pPr>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roofErr w:type="spellStart"/>
      <w:r>
        <w:t>lorem</w:t>
      </w:r>
      <w:proofErr w:type="spellEnd"/>
      <w:r>
        <w:t xml:space="preserve"> </w:t>
      </w:r>
      <w:proofErr w:type="spellStart"/>
      <w:r>
        <w:t>ipsum</w:t>
      </w:r>
      <w:proofErr w:type="spellEnd"/>
      <w:r>
        <w:rPr>
          <w:color w:val="000000"/>
        </w:rPr>
        <w:t xml:space="preserve"> </w:t>
      </w:r>
    </w:p>
    <w:p w14:paraId="6ADA813E" w14:textId="77777777" w:rsidR="00B0425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i/>
          <w:color w:val="000000"/>
        </w:rPr>
      </w:pPr>
      <w:r>
        <w:rPr>
          <w:i/>
          <w:color w:val="000000"/>
        </w:rPr>
        <w:t>Instruments</w:t>
      </w:r>
      <w:r>
        <w:rPr>
          <w:color w:val="232323"/>
        </w:rPr>
        <w:t xml:space="preserve"> </w:t>
      </w:r>
    </w:p>
    <w:p w14:paraId="5B9D0ED9" w14:textId="77777777" w:rsidR="00B0425E" w:rsidRDefault="00000000">
      <w:bookmarkStart w:id="2" w:name="_heading=h.1fob9te" w:colFirst="0" w:colLast="0"/>
      <w:bookmarkEnd w:id="2"/>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p>
    <w:p w14:paraId="334F8741" w14:textId="77777777" w:rsidR="00B0425E" w:rsidRDefault="00B0425E">
      <w:pPr>
        <w:rPr>
          <w:i/>
        </w:rPr>
      </w:pPr>
    </w:p>
    <w:p w14:paraId="0D049C16" w14:textId="77777777" w:rsidR="00B0425E" w:rsidRDefault="00000000">
      <w:pPr>
        <w:rPr>
          <w:i/>
        </w:rPr>
      </w:pPr>
      <w:proofErr w:type="spellStart"/>
      <w:r>
        <w:rPr>
          <w:i/>
        </w:rPr>
        <w:t>Procedure</w:t>
      </w:r>
      <w:proofErr w:type="spellEnd"/>
    </w:p>
    <w:p w14:paraId="04E4B8CF" w14:textId="77777777" w:rsidR="00B0425E" w:rsidRDefault="00000000">
      <w:pPr>
        <w:rPr>
          <w:i/>
        </w:rPr>
      </w:pP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roofErr w:type="spellStart"/>
      <w:r>
        <w:t>lorem</w:t>
      </w:r>
      <w:proofErr w:type="spellEnd"/>
      <w:r>
        <w:t xml:space="preserve"> </w:t>
      </w:r>
      <w:proofErr w:type="spellStart"/>
      <w:r>
        <w:t>ipsum</w:t>
      </w:r>
      <w:proofErr w:type="spellEnd"/>
      <w:r>
        <w:rPr>
          <w:i/>
        </w:rPr>
        <w:t xml:space="preserve"> </w:t>
      </w:r>
    </w:p>
    <w:p w14:paraId="5592953F" w14:textId="77777777" w:rsidR="00B0425E" w:rsidRDefault="00000000">
      <w:pPr>
        <w:rPr>
          <w:i/>
        </w:rPr>
      </w:pPr>
      <w:proofErr w:type="spellStart"/>
      <w:r>
        <w:rPr>
          <w:i/>
        </w:rPr>
        <w:t>Results</w:t>
      </w:r>
      <w:proofErr w:type="spellEnd"/>
    </w:p>
    <w:p w14:paraId="737466A1" w14:textId="77777777" w:rsidR="00B0425E" w:rsidRDefault="00000000">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p>
    <w:p w14:paraId="53921909" w14:textId="77777777" w:rsidR="00B0425E" w:rsidRDefault="00000000">
      <w:pPr>
        <w:rPr>
          <w:i/>
        </w:rPr>
      </w:pPr>
      <w:proofErr w:type="spellStart"/>
      <w:r>
        <w:rPr>
          <w:i/>
        </w:rPr>
        <w:lastRenderedPageBreak/>
        <w:t>Design</w:t>
      </w:r>
      <w:proofErr w:type="spellEnd"/>
      <w:r>
        <w:rPr>
          <w:i/>
        </w:rPr>
        <w:t xml:space="preserve"> and data </w:t>
      </w:r>
      <w:proofErr w:type="spellStart"/>
      <w:r>
        <w:rPr>
          <w:i/>
        </w:rPr>
        <w:t>analysis</w:t>
      </w:r>
      <w:proofErr w:type="spellEnd"/>
    </w:p>
    <w:p w14:paraId="26D75380" w14:textId="77777777" w:rsidR="00B0425E" w:rsidRDefault="00000000">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
    <w:p w14:paraId="2DAB1830" w14:textId="77777777" w:rsidR="00B0425E" w:rsidRDefault="00000000">
      <w:r>
        <w:rPr>
          <w:rFonts w:ascii="Georgia" w:eastAsia="Georgia" w:hAnsi="Georgia" w:cs="Georgia"/>
          <w:b/>
          <w:color w:val="7A1C61"/>
          <w:sz w:val="26"/>
          <w:szCs w:val="26"/>
        </w:rPr>
        <w:t>DISCUSSION AND CONCLUSION</w:t>
      </w:r>
    </w:p>
    <w:p w14:paraId="17CBB63E" w14:textId="77777777" w:rsidR="00B0425E" w:rsidRDefault="00000000">
      <w:pPr>
        <w:keepNext/>
        <w:pBdr>
          <w:bottom w:val="none" w:sz="0" w:space="0" w:color="000000"/>
          <w:right w:val="none" w:sz="0" w:space="0" w:color="000000"/>
        </w:pBdr>
        <w:spacing w:line="793" w:lineRule="auto"/>
        <w:rPr>
          <w:sz w:val="166"/>
          <w:szCs w:val="166"/>
          <w:vertAlign w:val="subscript"/>
        </w:rPr>
      </w:pPr>
      <w:r>
        <w:rPr>
          <w:sz w:val="166"/>
          <w:szCs w:val="166"/>
          <w:vertAlign w:val="subscript"/>
        </w:rPr>
        <w:t>A</w:t>
      </w:r>
    </w:p>
    <w:p w14:paraId="7D1B22F7" w14:textId="77777777" w:rsidR="00B0425E" w:rsidRDefault="00000000">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
    <w:p w14:paraId="151951A6" w14:textId="77777777" w:rsidR="00B0425E" w:rsidRDefault="00B0425E"/>
    <w:p w14:paraId="075E00C9" w14:textId="77777777" w:rsidR="00B0425E" w:rsidRDefault="00B0425E"/>
    <w:p w14:paraId="3C50CA54" w14:textId="77777777" w:rsidR="00B0425E" w:rsidRDefault="00B0425E"/>
    <w:p w14:paraId="026ED1E9" w14:textId="77777777" w:rsidR="00B0425E" w:rsidRDefault="00000000">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roofErr w:type="spellStart"/>
      <w:r>
        <w:t>lorem</w:t>
      </w:r>
      <w:proofErr w:type="spellEnd"/>
      <w:r>
        <w:t xml:space="preserve"> </w:t>
      </w:r>
      <w:proofErr w:type="spellStart"/>
      <w:r>
        <w:t>ipsum</w:t>
      </w:r>
      <w:proofErr w:type="spellEnd"/>
      <w:r>
        <w:t xml:space="preserve"> </w:t>
      </w:r>
    </w:p>
    <w:p w14:paraId="70777F81" w14:textId="77777777" w:rsidR="00B0425E" w:rsidRDefault="00B0425E"/>
    <w:p w14:paraId="336369FC" w14:textId="77777777" w:rsidR="00B0425E" w:rsidRDefault="00B0425E"/>
    <w:p w14:paraId="07E5A52B" w14:textId="77777777" w:rsidR="00B0425E" w:rsidRDefault="00B0425E"/>
    <w:tbl>
      <w:tblPr>
        <w:tblStyle w:val="a"/>
        <w:tblW w:w="41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8"/>
      </w:tblGrid>
      <w:tr w:rsidR="00B0425E" w14:paraId="2154F23F" w14:textId="77777777">
        <w:trPr>
          <w:trHeight w:val="308"/>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0FFE1414"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40" w:lineRule="auto"/>
              <w:jc w:val="center"/>
              <w:rPr>
                <w:rFonts w:ascii="Cutive" w:eastAsia="Cutive" w:hAnsi="Cutive" w:cs="Cutive"/>
                <w:b/>
                <w:color w:val="7030A0"/>
                <w:sz w:val="26"/>
                <w:szCs w:val="26"/>
              </w:rPr>
            </w:pPr>
            <w:bookmarkStart w:id="3" w:name="_heading=h.3znysh7" w:colFirst="0" w:colLast="0"/>
            <w:bookmarkEnd w:id="3"/>
            <w:r>
              <w:rPr>
                <w:rFonts w:ascii="Cutive" w:eastAsia="Cutive" w:hAnsi="Cutive" w:cs="Cutive"/>
                <w:b/>
                <w:color w:val="7030A0"/>
                <w:sz w:val="26"/>
                <w:szCs w:val="26"/>
              </w:rPr>
              <w:t xml:space="preserve">Investigaciones Sobre Lectura (ISL) | 2021 </w:t>
            </w:r>
          </w:p>
        </w:tc>
      </w:tr>
      <w:tr w:rsidR="00B0425E" w14:paraId="7CDA5354" w14:textId="77777777">
        <w:trPr>
          <w:trHeight w:val="530"/>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52DE3074"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Gill Sans" w:eastAsia="Gill Sans" w:hAnsi="Gill Sans" w:cs="Gill Sans"/>
                <w:color w:val="232323"/>
                <w:sz w:val="18"/>
                <w:szCs w:val="18"/>
              </w:rPr>
            </w:pPr>
            <w:proofErr w:type="spellStart"/>
            <w:r>
              <w:rPr>
                <w:b/>
                <w:color w:val="7030A0"/>
              </w:rPr>
              <w:t>Authors</w:t>
            </w:r>
            <w:proofErr w:type="spellEnd"/>
            <w:r>
              <w:rPr>
                <w:b/>
                <w:color w:val="7030A0"/>
              </w:rPr>
              <w:t xml:space="preserve">’ </w:t>
            </w:r>
            <w:proofErr w:type="spellStart"/>
            <w:r>
              <w:rPr>
                <w:b/>
                <w:color w:val="7030A0"/>
              </w:rPr>
              <w:t>contributions</w:t>
            </w:r>
            <w:proofErr w:type="spellEnd"/>
            <w:r>
              <w:rPr>
                <w:b/>
                <w:color w:val="7030A0"/>
              </w:rPr>
              <w:t xml:space="preserve">: </w:t>
            </w:r>
            <w:r>
              <w:rPr>
                <w:rFonts w:ascii="Gill Sans" w:eastAsia="Gill Sans" w:hAnsi="Gill Sans" w:cs="Gill Sans"/>
                <w:color w:val="232323"/>
                <w:sz w:val="18"/>
                <w:szCs w:val="18"/>
              </w:rPr>
              <w:t xml:space="preserve"> </w:t>
            </w:r>
          </w:p>
          <w:p w14:paraId="30F5BC9D" w14:textId="603F2EBC"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roofErr w:type="spellStart"/>
            <w:r>
              <w:rPr>
                <w:b/>
              </w:rPr>
              <w:t>Conceptualization</w:t>
            </w:r>
            <w:proofErr w:type="spellEnd"/>
            <w:r>
              <w:rPr>
                <w:b/>
              </w:rPr>
              <w:t xml:space="preserve"> (Idea)</w:t>
            </w:r>
            <w:r>
              <w:t xml:space="preserve">: </w:t>
            </w:r>
            <w:r w:rsidR="00703FDF">
              <w:t>PJOR</w:t>
            </w:r>
            <w:r>
              <w:t>;</w:t>
            </w:r>
          </w:p>
          <w:p w14:paraId="5E51B125" w14:textId="6054ACEB"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left"/>
            </w:pPr>
            <w:proofErr w:type="spellStart"/>
            <w:r>
              <w:rPr>
                <w:b/>
              </w:rPr>
              <w:t>Writing</w:t>
            </w:r>
            <w:proofErr w:type="spellEnd"/>
            <w:r>
              <w:rPr>
                <w:b/>
              </w:rPr>
              <w:t xml:space="preserve"> – Original Draft </w:t>
            </w:r>
            <w:proofErr w:type="spellStart"/>
            <w:r>
              <w:rPr>
                <w:b/>
              </w:rPr>
              <w:t>Preparation</w:t>
            </w:r>
            <w:proofErr w:type="spellEnd"/>
            <w:r>
              <w:t xml:space="preserve">: </w:t>
            </w:r>
            <w:r w:rsidR="00703FDF">
              <w:t>PJOR</w:t>
            </w:r>
            <w:r>
              <w:t>;</w:t>
            </w:r>
          </w:p>
          <w:p w14:paraId="7F05B7AC" w14:textId="7752463C"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roofErr w:type="spellStart"/>
            <w:r>
              <w:rPr>
                <w:b/>
              </w:rPr>
              <w:t>Methodology</w:t>
            </w:r>
            <w:proofErr w:type="spellEnd"/>
            <w:r>
              <w:t xml:space="preserve">: </w:t>
            </w:r>
            <w:r w:rsidR="00703FDF">
              <w:t>PJOR</w:t>
            </w:r>
            <w:r>
              <w:t>;</w:t>
            </w:r>
          </w:p>
          <w:p w14:paraId="19643C85" w14:textId="25C1EA4A"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roofErr w:type="spellStart"/>
            <w:r>
              <w:rPr>
                <w:b/>
              </w:rPr>
              <w:t>Analysis</w:t>
            </w:r>
            <w:proofErr w:type="spellEnd"/>
            <w:r>
              <w:t xml:space="preserve">: </w:t>
            </w:r>
            <w:r w:rsidR="00703FDF">
              <w:t>PJOR</w:t>
            </w:r>
            <w:r>
              <w:t>;</w:t>
            </w:r>
          </w:p>
          <w:p w14:paraId="357277AF" w14:textId="01F5F2C0"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roofErr w:type="spellStart"/>
            <w:r>
              <w:rPr>
                <w:b/>
              </w:rPr>
              <w:t>Discussion</w:t>
            </w:r>
            <w:proofErr w:type="spellEnd"/>
            <w:r>
              <w:rPr>
                <w:b/>
              </w:rPr>
              <w:t xml:space="preserve"> and </w:t>
            </w:r>
            <w:proofErr w:type="spellStart"/>
            <w:r>
              <w:rPr>
                <w:b/>
              </w:rPr>
              <w:t>Conclusion</w:t>
            </w:r>
            <w:proofErr w:type="spellEnd"/>
            <w:r>
              <w:t xml:space="preserve">: </w:t>
            </w:r>
            <w:r w:rsidR="00703FDF">
              <w:t>PJOR</w:t>
            </w:r>
            <w:r>
              <w:t>;</w:t>
            </w:r>
          </w:p>
          <w:p w14:paraId="0366455A" w14:textId="19B73441"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roofErr w:type="spellStart"/>
            <w:r>
              <w:rPr>
                <w:b/>
              </w:rPr>
              <w:t>Review</w:t>
            </w:r>
            <w:proofErr w:type="spellEnd"/>
            <w:r>
              <w:rPr>
                <w:b/>
              </w:rPr>
              <w:t xml:space="preserve"> &amp; </w:t>
            </w:r>
            <w:proofErr w:type="spellStart"/>
            <w:r>
              <w:rPr>
                <w:b/>
              </w:rPr>
              <w:t>Editing</w:t>
            </w:r>
            <w:proofErr w:type="spellEnd"/>
            <w:r>
              <w:t xml:space="preserve">: </w:t>
            </w:r>
            <w:r w:rsidR="00703FDF">
              <w:t>PJOR</w:t>
            </w:r>
            <w:r>
              <w:t>.</w:t>
            </w:r>
          </w:p>
          <w:p w14:paraId="057F39D5"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roofErr w:type="spellStart"/>
            <w:r>
              <w:t>All</w:t>
            </w:r>
            <w:proofErr w:type="spellEnd"/>
            <w:r>
              <w:t xml:space="preserve"> </w:t>
            </w:r>
            <w:proofErr w:type="spellStart"/>
            <w:r>
              <w:t>authors</w:t>
            </w:r>
            <w:proofErr w:type="spellEnd"/>
            <w:r>
              <w:t xml:space="preserve"> </w:t>
            </w:r>
            <w:proofErr w:type="spellStart"/>
            <w:r>
              <w:t>have</w:t>
            </w:r>
            <w:proofErr w:type="spellEnd"/>
            <w:r>
              <w:t xml:space="preserve"> </w:t>
            </w:r>
            <w:proofErr w:type="spellStart"/>
            <w:r>
              <w:t>read</w:t>
            </w:r>
            <w:proofErr w:type="spellEnd"/>
            <w:r>
              <w:t xml:space="preserve"> and </w:t>
            </w:r>
            <w:proofErr w:type="spellStart"/>
            <w:r>
              <w:t>agreed</w:t>
            </w:r>
            <w:proofErr w:type="spellEnd"/>
            <w:r>
              <w:t xml:space="preserve"> </w:t>
            </w:r>
            <w:proofErr w:type="spellStart"/>
            <w:r>
              <w:t>to</w:t>
            </w:r>
            <w:proofErr w:type="spellEnd"/>
            <w:r>
              <w:t xml:space="preserve"> </w:t>
            </w:r>
            <w:proofErr w:type="spellStart"/>
            <w:r>
              <w:t>the</w:t>
            </w:r>
            <w:proofErr w:type="spellEnd"/>
            <w:r>
              <w:t xml:space="preserve"> </w:t>
            </w:r>
            <w:proofErr w:type="spellStart"/>
            <w:r>
              <w:t>published</w:t>
            </w:r>
            <w:proofErr w:type="spellEnd"/>
            <w:r>
              <w:t xml:space="preserve"> </w:t>
            </w:r>
            <w:proofErr w:type="spellStart"/>
            <w:r>
              <w:t>version</w:t>
            </w:r>
            <w:proofErr w:type="spellEnd"/>
            <w:r>
              <w:t xml:space="preserve"> </w:t>
            </w:r>
            <w:proofErr w:type="spellStart"/>
            <w:r>
              <w:t>of</w:t>
            </w:r>
            <w:proofErr w:type="spellEnd"/>
            <w:r>
              <w:t xml:space="preserve"> </w:t>
            </w:r>
            <w:proofErr w:type="spellStart"/>
            <w:r>
              <w:t>the</w:t>
            </w:r>
            <w:proofErr w:type="spellEnd"/>
            <w:r>
              <w:t xml:space="preserve"> </w:t>
            </w:r>
            <w:proofErr w:type="spellStart"/>
            <w:r>
              <w:t>manuscript</w:t>
            </w:r>
            <w:proofErr w:type="spellEnd"/>
            <w:r>
              <w:t>.</w:t>
            </w:r>
          </w:p>
        </w:tc>
      </w:tr>
      <w:tr w:rsidR="00B0425E" w14:paraId="60A12DA9" w14:textId="77777777">
        <w:trPr>
          <w:trHeight w:val="586"/>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5EBBAB22" w14:textId="5A17CEF5"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40" w:lineRule="auto"/>
              <w:rPr>
                <w:color w:val="232323"/>
              </w:rPr>
            </w:pPr>
            <w:proofErr w:type="spellStart"/>
            <w:r>
              <w:rPr>
                <w:b/>
                <w:color w:val="7030A0"/>
              </w:rPr>
              <w:t>Funding</w:t>
            </w:r>
            <w:proofErr w:type="spellEnd"/>
            <w:r>
              <w:rPr>
                <w:b/>
                <w:color w:val="7030A0"/>
              </w:rPr>
              <w:t xml:space="preserve">: </w:t>
            </w:r>
            <w:proofErr w:type="spellStart"/>
            <w:r w:rsidR="00BA6DA9">
              <w:rPr>
                <w:color w:val="000000"/>
              </w:rPr>
              <w:t>This</w:t>
            </w:r>
            <w:proofErr w:type="spellEnd"/>
            <w:r w:rsidR="00BA6DA9">
              <w:rPr>
                <w:color w:val="000000"/>
              </w:rPr>
              <w:t xml:space="preserve"> </w:t>
            </w:r>
            <w:proofErr w:type="spellStart"/>
            <w:r w:rsidR="00BA6DA9">
              <w:rPr>
                <w:color w:val="000000"/>
              </w:rPr>
              <w:t>research</w:t>
            </w:r>
            <w:proofErr w:type="spellEnd"/>
            <w:r w:rsidR="00BA6DA9">
              <w:rPr>
                <w:color w:val="000000"/>
              </w:rPr>
              <w:t xml:space="preserve"> has </w:t>
            </w:r>
            <w:proofErr w:type="spellStart"/>
            <w:r w:rsidR="00BA6DA9">
              <w:rPr>
                <w:color w:val="000000"/>
              </w:rPr>
              <w:t>not</w:t>
            </w:r>
            <w:proofErr w:type="spellEnd"/>
            <w:r w:rsidR="00BA6DA9">
              <w:rPr>
                <w:color w:val="000000"/>
              </w:rPr>
              <w:t xml:space="preserve"> </w:t>
            </w:r>
            <w:proofErr w:type="spellStart"/>
            <w:r w:rsidR="00BA6DA9">
              <w:rPr>
                <w:color w:val="000000"/>
              </w:rPr>
              <w:t>received</w:t>
            </w:r>
            <w:proofErr w:type="spellEnd"/>
            <w:r w:rsidR="00BA6DA9">
              <w:rPr>
                <w:color w:val="000000"/>
              </w:rPr>
              <w:t xml:space="preserve"> </w:t>
            </w:r>
            <w:proofErr w:type="spellStart"/>
            <w:r w:rsidR="00BA6DA9">
              <w:rPr>
                <w:color w:val="000000"/>
              </w:rPr>
              <w:t>any</w:t>
            </w:r>
            <w:proofErr w:type="spellEnd"/>
            <w:r w:rsidR="00BA6DA9">
              <w:rPr>
                <w:color w:val="000000"/>
              </w:rPr>
              <w:t xml:space="preserve"> </w:t>
            </w:r>
            <w:proofErr w:type="spellStart"/>
            <w:r w:rsidR="00BA6DA9">
              <w:rPr>
                <w:color w:val="000000"/>
              </w:rPr>
              <w:t>funding</w:t>
            </w:r>
            <w:proofErr w:type="spellEnd"/>
            <w:r w:rsidR="00BA6DA9">
              <w:rPr>
                <w:color w:val="000000"/>
              </w:rPr>
              <w:t>.</w:t>
            </w:r>
          </w:p>
        </w:tc>
      </w:tr>
      <w:tr w:rsidR="00B0425E" w14:paraId="171067CD" w14:textId="77777777">
        <w:trPr>
          <w:trHeight w:val="638"/>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2261A555" w14:textId="4CC6A0FA"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color w:val="232323"/>
              </w:rPr>
            </w:pPr>
            <w:proofErr w:type="spellStart"/>
            <w:r>
              <w:rPr>
                <w:b/>
                <w:color w:val="7030A0"/>
              </w:rPr>
              <w:t>Acknowledgments</w:t>
            </w:r>
            <w:proofErr w:type="spellEnd"/>
            <w:r>
              <w:rPr>
                <w:b/>
                <w:color w:val="7030A0"/>
              </w:rPr>
              <w:t>:</w:t>
            </w:r>
            <w:r>
              <w:rPr>
                <w:color w:val="232323"/>
              </w:rPr>
              <w:t xml:space="preserve"> </w:t>
            </w:r>
            <w:r w:rsidR="00BA6DA9">
              <w:rPr>
                <w:color w:val="232323"/>
              </w:rPr>
              <w:t>NA</w:t>
            </w:r>
          </w:p>
        </w:tc>
      </w:tr>
    </w:tbl>
    <w:p w14:paraId="6B6AE69B" w14:textId="77777777" w:rsidR="00B0425E" w:rsidRDefault="00B0425E"/>
    <w:p w14:paraId="7F1DBEEB"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800"/>
        <w:rPr>
          <w:rFonts w:ascii="Georgia" w:eastAsia="Georgia" w:hAnsi="Georgia" w:cs="Georgia"/>
          <w:b/>
          <w:color w:val="7A1C61"/>
          <w:sz w:val="26"/>
          <w:szCs w:val="26"/>
        </w:rPr>
      </w:pPr>
      <w:r>
        <w:rPr>
          <w:rFonts w:ascii="Georgia" w:eastAsia="Georgia" w:hAnsi="Georgia" w:cs="Georgia"/>
          <w:b/>
          <w:color w:val="7A1C61"/>
          <w:sz w:val="26"/>
          <w:szCs w:val="26"/>
        </w:rPr>
        <w:t>REFERENCES</w:t>
      </w:r>
    </w:p>
    <w:p w14:paraId="33322BE4" w14:textId="77777777" w:rsidR="00B0425E" w:rsidRDefault="00000000">
      <w:r>
        <w:t>APA 7ª edición (sangrado francés, etc.)</w:t>
      </w:r>
    </w:p>
    <w:p w14:paraId="26CAA0AC" w14:textId="77777777" w:rsidR="00B0425E" w:rsidRDefault="00B0425E"/>
    <w:p w14:paraId="4682ADF7" w14:textId="77777777" w:rsidR="00B0425E" w:rsidRDefault="00B0425E"/>
    <w:p w14:paraId="1E58C183" w14:textId="77777777" w:rsidR="00B0425E" w:rsidRDefault="00B0425E"/>
    <w:p w14:paraId="4E047DD4" w14:textId="77777777" w:rsidR="00B0425E" w:rsidRDefault="00B0425E"/>
    <w:p w14:paraId="1D5C138C" w14:textId="77777777" w:rsidR="00B0425E" w:rsidRDefault="00B0425E">
      <w:pPr>
        <w:rPr>
          <w:highlight w:val="cyan"/>
        </w:rPr>
      </w:pPr>
    </w:p>
    <w:p w14:paraId="70669A0E" w14:textId="77777777" w:rsidR="00B0425E" w:rsidRDefault="00B0425E">
      <w:pPr>
        <w:rPr>
          <w:highlight w:val="cyan"/>
        </w:rPr>
      </w:pPr>
    </w:p>
    <w:p w14:paraId="2B30EDC5" w14:textId="77777777" w:rsidR="00B0425E" w:rsidRDefault="00B0425E">
      <w:pPr>
        <w:rPr>
          <w:highlight w:val="cyan"/>
        </w:rPr>
      </w:pPr>
    </w:p>
    <w:p w14:paraId="0F1E5A96" w14:textId="77777777" w:rsidR="00B0425E" w:rsidRDefault="00B0425E">
      <w:pPr>
        <w:rPr>
          <w:highlight w:val="cyan"/>
        </w:rPr>
      </w:pPr>
    </w:p>
    <w:p w14:paraId="1A85F2ED" w14:textId="77777777" w:rsidR="00B0425E" w:rsidRDefault="00B0425E">
      <w:pPr>
        <w:rPr>
          <w:highlight w:val="cyan"/>
        </w:rPr>
      </w:pPr>
    </w:p>
    <w:p w14:paraId="1FC53E0C" w14:textId="77777777" w:rsidR="00B0425E" w:rsidRDefault="00B042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Georgia" w:eastAsia="Georgia" w:hAnsi="Georgia" w:cs="Georgia"/>
          <w:b/>
          <w:color w:val="7A1C61"/>
          <w:sz w:val="26"/>
          <w:szCs w:val="26"/>
        </w:rPr>
        <w:sectPr w:rsidR="00B0425E">
          <w:type w:val="continuous"/>
          <w:pgSz w:w="11906" w:h="16838"/>
          <w:pgMar w:top="1701" w:right="1134" w:bottom="1701" w:left="1134" w:header="709" w:footer="283" w:gutter="0"/>
          <w:cols w:num="2" w:space="720" w:equalWidth="0">
            <w:col w:w="4691" w:space="254"/>
            <w:col w:w="4691" w:space="0"/>
          </w:cols>
        </w:sectPr>
      </w:pPr>
      <w:bookmarkStart w:id="4" w:name="_heading=h.2et92p0" w:colFirst="0" w:colLast="0"/>
      <w:bookmarkEnd w:id="4"/>
    </w:p>
    <w:p w14:paraId="6CEA24EE" w14:textId="77777777" w:rsidR="00B0425E" w:rsidRDefault="00B042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232323"/>
          <w:highlight w:val="yellow"/>
        </w:rPr>
        <w:sectPr w:rsidR="00B0425E">
          <w:type w:val="continuous"/>
          <w:pgSz w:w="11906" w:h="16838"/>
          <w:pgMar w:top="1701" w:right="1134" w:bottom="1701" w:left="1134" w:header="709" w:footer="283" w:gutter="0"/>
          <w:cols w:space="720"/>
        </w:sectPr>
      </w:pPr>
    </w:p>
    <w:p w14:paraId="6D979EBE"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52"/>
        <w:rPr>
          <w:color w:val="000000"/>
        </w:rPr>
        <w:sectPr w:rsidR="00B0425E">
          <w:type w:val="continuous"/>
          <w:pgSz w:w="11906" w:h="16838"/>
          <w:pgMar w:top="1701" w:right="1134" w:bottom="1701" w:left="1134" w:header="709" w:footer="283" w:gutter="0"/>
          <w:cols w:space="720"/>
        </w:sectPr>
      </w:pPr>
    </w:p>
    <w:p w14:paraId="6CB1C898"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color w:val="000000"/>
        </w:rPr>
        <w:sectPr w:rsidR="00B0425E">
          <w:type w:val="continuous"/>
          <w:pgSz w:w="11906" w:h="16838"/>
          <w:pgMar w:top="1701" w:right="1134" w:bottom="1701" w:left="1134" w:header="709" w:footer="283" w:gutter="0"/>
          <w:cols w:space="720"/>
        </w:sectPr>
      </w:pPr>
    </w:p>
    <w:p w14:paraId="7B696CDF" w14:textId="77777777" w:rsidR="00B0425E" w:rsidRDefault="00000000">
      <w:pPr>
        <w:spacing w:before="0" w:line="240" w:lineRule="auto"/>
        <w:jc w:val="right"/>
        <w:rPr>
          <w:b/>
          <w:color w:val="937AB2"/>
        </w:rPr>
      </w:pPr>
      <w:r>
        <w:rPr>
          <w:noProof/>
        </w:rPr>
        <w:drawing>
          <wp:anchor distT="152400" distB="152400" distL="152400" distR="152400" simplePos="0" relativeHeight="251670528" behindDoc="0" locked="0" layoutInCell="1" hidden="0" allowOverlap="1" wp14:anchorId="381CEBC0" wp14:editId="488CF646">
            <wp:simplePos x="0" y="0"/>
            <wp:positionH relativeFrom="page">
              <wp:posOffset>6019800</wp:posOffset>
            </wp:positionH>
            <wp:positionV relativeFrom="page">
              <wp:posOffset>1057275</wp:posOffset>
            </wp:positionV>
            <wp:extent cx="465455" cy="419100"/>
            <wp:effectExtent l="0" t="0" r="0" b="0"/>
            <wp:wrapSquare wrapText="bothSides" distT="152400" distB="152400" distL="152400" distR="152400"/>
            <wp:docPr id="10737418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5455" cy="419100"/>
                    </a:xfrm>
                    <a:prstGeom prst="rect">
                      <a:avLst/>
                    </a:prstGeom>
                    <a:ln/>
                  </pic:spPr>
                </pic:pic>
              </a:graphicData>
            </a:graphic>
          </wp:anchor>
        </w:drawing>
      </w:r>
      <w:r>
        <w:rPr>
          <w:noProof/>
        </w:rPr>
        <w:drawing>
          <wp:anchor distT="152400" distB="152400" distL="152400" distR="152400" simplePos="0" relativeHeight="251671552" behindDoc="0" locked="0" layoutInCell="1" hidden="0" allowOverlap="1" wp14:anchorId="62D0A6E1" wp14:editId="799F0291">
            <wp:simplePos x="0" y="0"/>
            <wp:positionH relativeFrom="page">
              <wp:posOffset>5400675</wp:posOffset>
            </wp:positionH>
            <wp:positionV relativeFrom="page">
              <wp:posOffset>1038226</wp:posOffset>
            </wp:positionV>
            <wp:extent cx="462280" cy="438150"/>
            <wp:effectExtent l="0" t="0" r="0" b="0"/>
            <wp:wrapSquare wrapText="bothSides" distT="152400" distB="152400" distL="152400" distR="152400"/>
            <wp:docPr id="10737418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2280" cy="438150"/>
                    </a:xfrm>
                    <a:prstGeom prst="rect">
                      <a:avLst/>
                    </a:prstGeom>
                    <a:ln/>
                  </pic:spPr>
                </pic:pic>
              </a:graphicData>
            </a:graphic>
          </wp:anchor>
        </w:drawing>
      </w:r>
    </w:p>
    <w:p w14:paraId="16829862" w14:textId="77777777" w:rsidR="00B0425E" w:rsidRDefault="00000000">
      <w:pPr>
        <w:tabs>
          <w:tab w:val="left" w:pos="5970"/>
        </w:tabs>
        <w:jc w:val="left"/>
        <w:rPr>
          <w:b/>
        </w:rPr>
      </w:pPr>
      <w:r>
        <w:rPr>
          <w:b/>
          <w:color w:val="937AB2"/>
        </w:rPr>
        <w:tab/>
      </w:r>
    </w:p>
    <w:p w14:paraId="2B1C9456" w14:textId="77777777" w:rsidR="00B0425E" w:rsidRDefault="00B0425E">
      <w:pPr>
        <w:rPr>
          <w:b/>
        </w:rPr>
      </w:pPr>
    </w:p>
    <w:p w14:paraId="02736B95" w14:textId="77777777" w:rsidR="00B0425E" w:rsidRDefault="00000000">
      <w:pPr>
        <w:rPr>
          <w:color w:val="000000"/>
          <w:sz w:val="22"/>
          <w:szCs w:val="22"/>
        </w:rPr>
      </w:pPr>
      <w:r>
        <w:rPr>
          <w:noProof/>
        </w:rPr>
        <w:lastRenderedPageBreak/>
        <w:drawing>
          <wp:anchor distT="152400" distB="152400" distL="152400" distR="152400" simplePos="0" relativeHeight="251672576" behindDoc="0" locked="0" layoutInCell="1" hidden="0" allowOverlap="1" wp14:anchorId="6432660A" wp14:editId="7C818717">
            <wp:simplePos x="0" y="0"/>
            <wp:positionH relativeFrom="page">
              <wp:posOffset>5373933</wp:posOffset>
            </wp:positionH>
            <wp:positionV relativeFrom="page">
              <wp:posOffset>675640</wp:posOffset>
            </wp:positionV>
            <wp:extent cx="1139054" cy="364853"/>
            <wp:effectExtent l="0" t="0" r="0" b="0"/>
            <wp:wrapSquare wrapText="bothSides" distT="152400" distB="152400" distL="152400" distR="152400"/>
            <wp:docPr id="10737418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139054" cy="364853"/>
                    </a:xfrm>
                    <a:prstGeom prst="rect">
                      <a:avLst/>
                    </a:prstGeom>
                    <a:ln/>
                  </pic:spPr>
                </pic:pic>
              </a:graphicData>
            </a:graphic>
          </wp:anchor>
        </w:drawing>
      </w:r>
      <w:r>
        <w:rPr>
          <w:noProof/>
          <w:color w:val="000000"/>
          <w:sz w:val="50"/>
          <w:szCs w:val="50"/>
        </w:rPr>
        <w:drawing>
          <wp:anchor distT="152400" distB="152400" distL="152400" distR="152400" simplePos="0" relativeHeight="251673600" behindDoc="0" locked="0" layoutInCell="1" hidden="0" allowOverlap="1" wp14:anchorId="1028680E" wp14:editId="792CADBC">
            <wp:simplePos x="0" y="0"/>
            <wp:positionH relativeFrom="margin">
              <wp:posOffset>1643104</wp:posOffset>
            </wp:positionH>
            <wp:positionV relativeFrom="page">
              <wp:posOffset>551767</wp:posOffset>
            </wp:positionV>
            <wp:extent cx="2717165" cy="1259205"/>
            <wp:effectExtent l="0" t="0" r="0" b="0"/>
            <wp:wrapSquare wrapText="bothSides" distT="152400" distB="152400" distL="152400" distR="152400"/>
            <wp:docPr id="10737418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17165" cy="1259205"/>
                    </a:xfrm>
                    <a:prstGeom prst="rect">
                      <a:avLst/>
                    </a:prstGeom>
                    <a:ln/>
                  </pic:spPr>
                </pic:pic>
              </a:graphicData>
            </a:graphic>
          </wp:anchor>
        </w:drawing>
      </w:r>
      <w:r>
        <w:rPr>
          <w:noProof/>
          <w:color w:val="000000"/>
        </w:rPr>
        <w:drawing>
          <wp:anchor distT="152400" distB="152400" distL="152400" distR="152400" simplePos="0" relativeHeight="251674624" behindDoc="0" locked="0" layoutInCell="1" hidden="0" allowOverlap="1" wp14:anchorId="4211FE88" wp14:editId="475E7D59">
            <wp:simplePos x="0" y="0"/>
            <wp:positionH relativeFrom="margin">
              <wp:posOffset>-177164</wp:posOffset>
            </wp:positionH>
            <wp:positionV relativeFrom="page">
              <wp:posOffset>474344</wp:posOffset>
            </wp:positionV>
            <wp:extent cx="1500505" cy="1388745"/>
            <wp:effectExtent l="0" t="0" r="0" b="0"/>
            <wp:wrapSquare wrapText="bothSides" distT="152400" distB="152400" distL="152400" distR="152400"/>
            <wp:docPr id="10737418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500505" cy="1388745"/>
                    </a:xfrm>
                    <a:prstGeom prst="rect">
                      <a:avLst/>
                    </a:prstGeom>
                    <a:ln/>
                  </pic:spPr>
                </pic:pic>
              </a:graphicData>
            </a:graphic>
          </wp:anchor>
        </w:drawing>
      </w:r>
    </w:p>
    <w:p w14:paraId="20F2D96B"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6" w:line="278" w:lineRule="auto"/>
        <w:rPr>
          <w:color w:val="000000"/>
          <w:sz w:val="22"/>
          <w:szCs w:val="22"/>
        </w:rPr>
      </w:pPr>
    </w:p>
    <w:p w14:paraId="1F8BB0BF" w14:textId="77777777" w:rsidR="00B0425E" w:rsidRDefault="00000000">
      <w:pPr>
        <w:widowControl w:val="0"/>
        <w:pBdr>
          <w:top w:val="nil"/>
          <w:left w:val="nil"/>
          <w:bottom w:val="nil"/>
          <w:right w:val="nil"/>
          <w:between w:val="nil"/>
        </w:pBdr>
        <w:shd w:val="clear" w:color="auto" w:fill="E7C7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5" w:line="240" w:lineRule="auto"/>
        <w:ind w:right="722"/>
        <w:jc w:val="center"/>
        <w:rPr>
          <w:rFonts w:ascii="Cutive" w:eastAsia="Cutive" w:hAnsi="Cutive" w:cs="Cutive"/>
          <w:b/>
          <w:color w:val="000000"/>
          <w:sz w:val="48"/>
          <w:szCs w:val="48"/>
        </w:rPr>
      </w:pPr>
      <w:r>
        <w:rPr>
          <w:rFonts w:ascii="Cutive" w:eastAsia="Cutive" w:hAnsi="Cutive" w:cs="Cutive"/>
          <w:b/>
          <w:color w:val="000000"/>
          <w:sz w:val="48"/>
          <w:szCs w:val="48"/>
        </w:rPr>
        <w:t>INVESTIGACIONES SOBRE LECTURA</w:t>
      </w:r>
    </w:p>
    <w:p w14:paraId="4D0855D2" w14:textId="77777777" w:rsidR="00B0425E" w:rsidRDefault="00000000">
      <w:pPr>
        <w:widowControl w:val="0"/>
        <w:pBdr>
          <w:top w:val="nil"/>
          <w:left w:val="nil"/>
          <w:bottom w:val="nil"/>
          <w:right w:val="nil"/>
          <w:between w:val="nil"/>
        </w:pBdr>
        <w:shd w:val="clear" w:color="auto" w:fill="E7C7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5" w:line="240" w:lineRule="auto"/>
        <w:ind w:right="722"/>
        <w:jc w:val="center"/>
        <w:rPr>
          <w:rFonts w:ascii="Cutive" w:eastAsia="Cutive" w:hAnsi="Cutive" w:cs="Cutive"/>
          <w:b/>
          <w:color w:val="000000"/>
          <w:sz w:val="28"/>
          <w:szCs w:val="28"/>
        </w:rPr>
      </w:pPr>
      <w:r>
        <w:rPr>
          <w:rFonts w:ascii="Cutive" w:eastAsia="Cutive" w:hAnsi="Cutive" w:cs="Cutive"/>
          <w:b/>
          <w:color w:val="000000"/>
          <w:sz w:val="28"/>
          <w:szCs w:val="28"/>
        </w:rPr>
        <w:t>ENG/ESP</w:t>
      </w:r>
    </w:p>
    <w:p w14:paraId="53D1293D"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722"/>
        <w:jc w:val="right"/>
        <w:rPr>
          <w:color w:val="000000"/>
        </w:rPr>
      </w:pPr>
      <w:hyperlink r:id="rId29">
        <w:r>
          <w:rPr>
            <w:rFonts w:ascii="Apple SD 산돌고딕 Neo 일반체" w:eastAsia="Apple SD 산돌고딕 Neo 일반체" w:hAnsi="Apple SD 산돌고딕 Neo 일반체" w:cs="Apple SD 산돌고딕 Neo 일반체"/>
            <w:color w:val="232323"/>
            <w:u w:val="single"/>
          </w:rPr>
          <w:t>ISSN: 2340-8665</w:t>
        </w:r>
      </w:hyperlink>
    </w:p>
    <w:p w14:paraId="1A27DBBC"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722"/>
        <w:jc w:val="right"/>
        <w:rPr>
          <w:color w:val="000000"/>
          <w:sz w:val="16"/>
          <w:szCs w:val="16"/>
        </w:rPr>
      </w:pPr>
    </w:p>
    <w:p w14:paraId="06257538" w14:textId="634695A5" w:rsidR="00B0425E" w:rsidRDefault="00B15593">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720"/>
        <w:jc w:val="center"/>
        <w:rPr>
          <w:rFonts w:ascii="Cutive" w:eastAsia="Cutive" w:hAnsi="Cutive" w:cs="Cutive"/>
          <w:b/>
          <w:color w:val="000000"/>
          <w:sz w:val="30"/>
          <w:szCs w:val="30"/>
        </w:rPr>
      </w:pPr>
      <w:r>
        <w:rPr>
          <w:rFonts w:ascii="Cutive" w:eastAsia="Cutive" w:hAnsi="Cutive" w:cs="Cutive"/>
          <w:b/>
          <w:color w:val="000000"/>
          <w:sz w:val="30"/>
          <w:szCs w:val="30"/>
        </w:rPr>
        <w:t>La influencia de los predictores del estudiante y escolares sobre el rendimiento lector de los estudiantes españoles y su implicación en la didáctica</w:t>
      </w:r>
    </w:p>
    <w:p w14:paraId="660EA87A"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5"/>
        <w:ind w:right="721"/>
        <w:rPr>
          <w:b/>
          <w:color w:val="000000"/>
          <w:sz w:val="30"/>
          <w:szCs w:val="30"/>
        </w:rPr>
      </w:pPr>
    </w:p>
    <w:p w14:paraId="5B6246EE" w14:textId="6922F3A9"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952"/>
        <w:jc w:val="right"/>
        <w:rPr>
          <w:b/>
          <w:color w:val="000000"/>
          <w:sz w:val="24"/>
          <w:szCs w:val="24"/>
        </w:rPr>
      </w:pPr>
      <w:r>
        <w:rPr>
          <w:rFonts w:ascii="Gill Sans" w:eastAsia="Gill Sans" w:hAnsi="Gill Sans" w:cs="Gill Sans"/>
          <w:color w:val="232323"/>
          <w:sz w:val="18"/>
          <w:szCs w:val="18"/>
        </w:rPr>
        <w:t xml:space="preserve"> </w:t>
      </w:r>
      <w:r>
        <w:rPr>
          <w:noProof/>
        </w:rPr>
        <w:drawing>
          <wp:anchor distT="152400" distB="152400" distL="152400" distR="152400" simplePos="0" relativeHeight="251675648" behindDoc="0" locked="0" layoutInCell="1" hidden="0" allowOverlap="1" wp14:anchorId="0EFBA649" wp14:editId="7F8D8CF2">
            <wp:simplePos x="0" y="0"/>
            <wp:positionH relativeFrom="column">
              <wp:posOffset>5030470</wp:posOffset>
            </wp:positionH>
            <wp:positionV relativeFrom="paragraph">
              <wp:posOffset>70799</wp:posOffset>
            </wp:positionV>
            <wp:extent cx="271969" cy="271969"/>
            <wp:effectExtent l="0" t="0" r="0" b="0"/>
            <wp:wrapSquare wrapText="bothSides" distT="152400" distB="152400" distL="152400" distR="152400"/>
            <wp:docPr id="1073741859" name="image6.pn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073741859" name="image6.png">
                      <a:hlinkClick r:id="rId16"/>
                    </pic:cNvPr>
                    <pic:cNvPicPr preferRelativeResize="0"/>
                  </pic:nvPicPr>
                  <pic:blipFill>
                    <a:blip r:embed="rId15"/>
                    <a:srcRect/>
                    <a:stretch>
                      <a:fillRect/>
                    </a:stretch>
                  </pic:blipFill>
                  <pic:spPr>
                    <a:xfrm>
                      <a:off x="0" y="0"/>
                      <a:ext cx="271969" cy="271969"/>
                    </a:xfrm>
                    <a:prstGeom prst="rect">
                      <a:avLst/>
                    </a:prstGeom>
                    <a:ln/>
                  </pic:spPr>
                </pic:pic>
              </a:graphicData>
            </a:graphic>
          </wp:anchor>
        </w:drawing>
      </w:r>
      <w:r w:rsidR="00AC455F">
        <w:rPr>
          <w:b/>
          <w:color w:val="000000"/>
          <w:sz w:val="24"/>
          <w:szCs w:val="24"/>
        </w:rPr>
        <w:t>Pablo Javier Ortega-Rodríguez</w:t>
      </w:r>
    </w:p>
    <w:p w14:paraId="644806E7" w14:textId="0B9AACD1"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952"/>
        <w:jc w:val="right"/>
        <w:rPr>
          <w:color w:val="000099"/>
          <w:sz w:val="24"/>
          <w:szCs w:val="24"/>
          <w:u w:val="single"/>
        </w:rPr>
      </w:pPr>
      <w:r>
        <w:rPr>
          <w:color w:val="232323"/>
          <w:sz w:val="24"/>
          <w:szCs w:val="24"/>
          <w:u w:val="single"/>
        </w:rPr>
        <w:t>https://orcid.org/0000-000</w:t>
      </w:r>
      <w:r w:rsidR="00AC455F">
        <w:rPr>
          <w:color w:val="232323"/>
          <w:sz w:val="24"/>
          <w:szCs w:val="24"/>
          <w:u w:val="single"/>
        </w:rPr>
        <w:t>2</w:t>
      </w:r>
      <w:r>
        <w:rPr>
          <w:color w:val="232323"/>
          <w:sz w:val="24"/>
          <w:szCs w:val="24"/>
          <w:u w:val="single"/>
        </w:rPr>
        <w:t>-</w:t>
      </w:r>
      <w:r w:rsidR="00AC455F">
        <w:rPr>
          <w:color w:val="232323"/>
          <w:sz w:val="24"/>
          <w:szCs w:val="24"/>
          <w:u w:val="single"/>
        </w:rPr>
        <w:t>1128-2360</w:t>
      </w:r>
    </w:p>
    <w:p w14:paraId="3A3DC215" w14:textId="0DF641BC"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right="1952"/>
        <w:jc w:val="right"/>
        <w:rPr>
          <w:color w:val="000099"/>
          <w:sz w:val="24"/>
          <w:szCs w:val="24"/>
          <w:u w:val="single"/>
        </w:rPr>
      </w:pPr>
      <w:r>
        <w:rPr>
          <w:i/>
          <w:color w:val="000000"/>
          <w:sz w:val="24"/>
          <w:szCs w:val="24"/>
        </w:rPr>
        <w:t xml:space="preserve">Universidad </w:t>
      </w:r>
      <w:r w:rsidR="00AC455F">
        <w:rPr>
          <w:i/>
          <w:color w:val="000000"/>
          <w:sz w:val="24"/>
          <w:szCs w:val="24"/>
        </w:rPr>
        <w:t xml:space="preserve">Autónoma de Madrid, </w:t>
      </w:r>
      <w:r w:rsidR="00DE5A1A">
        <w:rPr>
          <w:i/>
          <w:color w:val="000000"/>
          <w:sz w:val="24"/>
          <w:szCs w:val="24"/>
        </w:rPr>
        <w:t>España</w:t>
      </w:r>
    </w:p>
    <w:p w14:paraId="0D1A916F"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08"/>
        <w:jc w:val="right"/>
        <w:rPr>
          <w:color w:val="000000"/>
        </w:rPr>
      </w:pPr>
      <w:r>
        <w:rPr>
          <w:color w:val="000000"/>
          <w:u w:val="single"/>
        </w:rPr>
        <w:t>Https:/10.24310/isl.vi15.XXXXX</w:t>
      </w:r>
      <w:r>
        <w:rPr>
          <w:color w:val="000000"/>
        </w:rPr>
        <w:t xml:space="preserve"> </w:t>
      </w:r>
      <w:r>
        <w:rPr>
          <w:noProof/>
        </w:rPr>
        <w:drawing>
          <wp:anchor distT="152400" distB="152400" distL="152400" distR="152400" simplePos="0" relativeHeight="251677696" behindDoc="0" locked="0" layoutInCell="1" hidden="0" allowOverlap="1" wp14:anchorId="79D04931" wp14:editId="4694CF5E">
            <wp:simplePos x="0" y="0"/>
            <wp:positionH relativeFrom="column">
              <wp:posOffset>5024431</wp:posOffset>
            </wp:positionH>
            <wp:positionV relativeFrom="paragraph">
              <wp:posOffset>39372</wp:posOffset>
            </wp:positionV>
            <wp:extent cx="279400" cy="279400"/>
            <wp:effectExtent l="0" t="0" r="0" b="0"/>
            <wp:wrapSquare wrapText="bothSides" distT="152400" distB="152400" distL="152400" distR="152400"/>
            <wp:docPr id="10737418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79400" cy="279400"/>
                    </a:xfrm>
                    <a:prstGeom prst="rect">
                      <a:avLst/>
                    </a:prstGeom>
                    <a:ln/>
                  </pic:spPr>
                </pic:pic>
              </a:graphicData>
            </a:graphic>
          </wp:anchor>
        </w:drawing>
      </w:r>
    </w:p>
    <w:p w14:paraId="4F4A1621"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08"/>
        <w:jc w:val="right"/>
        <w:rPr>
          <w:color w:val="000000"/>
        </w:rPr>
      </w:pPr>
      <w:r>
        <w:rPr>
          <w:color w:val="000000"/>
        </w:rPr>
        <w:t xml:space="preserve"> </w:t>
      </w:r>
    </w:p>
    <w:p w14:paraId="683FE2C7" w14:textId="1E814688"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b/>
          <w:color w:val="000000"/>
        </w:rPr>
      </w:pPr>
      <w:r>
        <w:rPr>
          <w:b/>
          <w:color w:val="000000"/>
        </w:rPr>
        <w:t xml:space="preserve">Recepción: </w:t>
      </w:r>
      <w:r w:rsidR="00E17DD7" w:rsidRPr="00E17DD7">
        <w:rPr>
          <w:bCs/>
          <w:color w:val="000000"/>
        </w:rPr>
        <w:t>0</w:t>
      </w:r>
      <w:r w:rsidR="00E17DD7">
        <w:rPr>
          <w:color w:val="000000"/>
        </w:rPr>
        <w:t>1/10/2024</w:t>
      </w:r>
    </w:p>
    <w:p w14:paraId="75EBD09E"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color w:val="000000"/>
        </w:rPr>
      </w:pPr>
      <w:r>
        <w:rPr>
          <w:b/>
          <w:color w:val="000000"/>
        </w:rPr>
        <w:t xml:space="preserve">Aceptación: </w:t>
      </w:r>
      <w:r>
        <w:rPr>
          <w:color w:val="000000"/>
        </w:rPr>
        <w:t>día mes año</w:t>
      </w:r>
    </w:p>
    <w:p w14:paraId="72AF45EA" w14:textId="1474F88D"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b/>
          <w:color w:val="000000"/>
        </w:rPr>
        <w:sectPr w:rsidR="00B0425E">
          <w:footerReference w:type="default" r:id="rId30"/>
          <w:type w:val="continuous"/>
          <w:pgSz w:w="11906" w:h="16838"/>
          <w:pgMar w:top="1701" w:right="1134" w:bottom="1701" w:left="1134" w:header="709" w:footer="283" w:gutter="0"/>
          <w:pgNumType w:start="46"/>
          <w:cols w:space="720"/>
        </w:sectPr>
      </w:pPr>
      <w:r>
        <w:rPr>
          <w:b/>
          <w:color w:val="000000"/>
        </w:rPr>
        <w:t>Contacto</w:t>
      </w:r>
      <w:r>
        <w:rPr>
          <w:color w:val="000000"/>
        </w:rPr>
        <w:t xml:space="preserve">: </w:t>
      </w:r>
      <w:r w:rsidR="00D03698">
        <w:rPr>
          <w:color w:val="232323"/>
          <w:u w:val="single"/>
        </w:rPr>
        <w:t>pabloj.ortega@uam.es</w:t>
      </w:r>
    </w:p>
    <w:p w14:paraId="491A2069"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b/>
          <w:color w:val="000000"/>
        </w:rPr>
      </w:pPr>
      <w:r>
        <w:rPr>
          <w:b/>
          <w:color w:val="000000"/>
        </w:rPr>
        <w:t>Resumen:</w:t>
      </w:r>
    </w:p>
    <w:p w14:paraId="0A5A4679"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b/>
          <w:color w:val="000000"/>
        </w:rPr>
      </w:pPr>
    </w:p>
    <w:p w14:paraId="657DB9E6" w14:textId="681CC02E" w:rsidR="00B0425E" w:rsidRDefault="0031476F" w:rsidP="0031476F">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r w:rsidRPr="0031476F">
        <w:rPr>
          <w:color w:val="000000"/>
        </w:rPr>
        <w:t xml:space="preserve">La investigación ha demostrado la influencia de los predictores del estudiante y escolares sobre el rendimiento en educación secundaria. Sin embargo, es preciso avanzar en el conocimiento sobre la influencia de tales predictores en educación primaria tras la pandemia del COVID-19. El objetivo de este artículo es conocer la influencia de los predictores del estudiante y escolares sobre el rendimiento lector. La muestra está formada por 8.551 estudiantes españoles de 4º de Educación Primaria (52.1% de niños, 47.9% de niñas) que han participado en el estudio PIRLS 2021. Se han utilizado tres cuestionarios (del centro, de las familias y del alumnado). Se ha calculado un modelo jerárquico lineal de dos niveles: alumnado y centro. Los resultados muestran que los predictores del estudiante contribuyen a la varianza del rendimiento en mayor medida que los del centro. Una vez controlada la variable socioeconómica (el contexto del alumnado), los años escolarizados en educación infantil y la alfabetización temprana en casa son los determinantes del estudiante que predicen mejor el rendimiento lector. En cuanto a los predictores escolares, la composición del centro y el énfasis escolar en el éxito académico son las variables que predicen mejor el rendimiento lector del alumnado. Los resultados sugieren la necesidad de desarrollar las habilidades lectoras del alumnado en el entorno familiar antes de que comience la educación primaria, reforzar la colaboración familia-escuela y diseñar actividades entre el profesorado, el alumnado y las familias para crear un ambiente positivo y productivo. </w:t>
      </w:r>
    </w:p>
    <w:p w14:paraId="3FF4FBC3"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p>
    <w:p w14:paraId="346B3B03" w14:textId="77777777" w:rsidR="00B0425E" w:rsidRDefault="00B0425E">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pPr>
    </w:p>
    <w:p w14:paraId="4F9A486B" w14:textId="0348DC0C"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color w:val="000000"/>
        </w:rPr>
        <w:sectPr w:rsidR="00B0425E">
          <w:type w:val="continuous"/>
          <w:pgSz w:w="11906" w:h="16838"/>
          <w:pgMar w:top="1701" w:right="1134" w:bottom="1701" w:left="1134" w:header="709" w:footer="283" w:gutter="0"/>
          <w:cols w:space="720"/>
        </w:sectPr>
      </w:pPr>
      <w:r>
        <w:rPr>
          <w:b/>
          <w:color w:val="000000"/>
        </w:rPr>
        <w:t xml:space="preserve">Palabras clave: </w:t>
      </w:r>
      <w:r w:rsidR="0031476F" w:rsidRPr="00A90F5D">
        <w:rPr>
          <w:color w:val="000000"/>
        </w:rPr>
        <w:t>Comprensión lectora, educación primaria, enseñanza de la lectura, regresión, rendimiento lector</w:t>
      </w:r>
      <w:r w:rsidR="0031476F">
        <w:rPr>
          <w:color w:val="000000"/>
        </w:rPr>
        <w:t>.</w:t>
      </w:r>
    </w:p>
    <w:p w14:paraId="6CD9047D"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sectPr w:rsidR="00B0425E">
          <w:type w:val="continuous"/>
          <w:pgSz w:w="11906" w:h="16838"/>
          <w:pgMar w:top="1701" w:right="1134" w:bottom="1701" w:left="1134" w:header="709" w:footer="283" w:gutter="0"/>
          <w:cols w:space="720"/>
        </w:sectPr>
      </w:pPr>
    </w:p>
    <w:p w14:paraId="5C8E2486"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sectPr w:rsidR="00B0425E">
          <w:type w:val="continuous"/>
          <w:pgSz w:w="11906" w:h="16838"/>
          <w:pgMar w:top="1701" w:right="1134" w:bottom="1701" w:left="1134" w:header="709" w:footer="283" w:gutter="0"/>
          <w:cols w:num="3" w:space="720" w:equalWidth="0">
            <w:col w:w="3043" w:space="254"/>
            <w:col w:w="3043" w:space="254"/>
            <w:col w:w="3043" w:space="0"/>
          </w:cols>
        </w:sectPr>
      </w:pPr>
    </w:p>
    <w:p w14:paraId="541BFEEC" w14:textId="77777777" w:rsidR="00B0425E" w:rsidRDefault="00000000">
      <w:pPr>
        <w:widowControl w:val="0"/>
        <w:pBdr>
          <w:top w:val="nil"/>
          <w:left w:val="nil"/>
          <w:bottom w:val="nil"/>
          <w:right w:val="nil"/>
          <w:between w:val="nil"/>
        </w:pBdr>
        <w:spacing w:after="120"/>
        <w:jc w:val="left"/>
        <w:rPr>
          <w:rFonts w:ascii="Cutive" w:eastAsia="Cutive" w:hAnsi="Cutive" w:cs="Cutive"/>
          <w:b/>
          <w:color w:val="000000"/>
          <w:sz w:val="30"/>
          <w:szCs w:val="30"/>
        </w:rPr>
      </w:pPr>
      <w:r>
        <w:rPr>
          <w:rFonts w:ascii="Cutive" w:eastAsia="Cutive" w:hAnsi="Cutive" w:cs="Cutive"/>
          <w:b/>
          <w:noProof/>
          <w:color w:val="232323"/>
          <w:sz w:val="30"/>
          <w:szCs w:val="30"/>
        </w:rPr>
        <w:lastRenderedPageBreak/>
        <w:drawing>
          <wp:anchor distT="152400" distB="152400" distL="152400" distR="152400" simplePos="0" relativeHeight="251678720" behindDoc="0" locked="0" layoutInCell="1" hidden="0" allowOverlap="1" wp14:anchorId="55E418A5" wp14:editId="2A92676E">
            <wp:simplePos x="0" y="0"/>
            <wp:positionH relativeFrom="margin">
              <wp:posOffset>5080635</wp:posOffset>
            </wp:positionH>
            <wp:positionV relativeFrom="page">
              <wp:posOffset>495300</wp:posOffset>
            </wp:positionV>
            <wp:extent cx="1009650" cy="1504950"/>
            <wp:effectExtent l="0" t="0" r="0" b="0"/>
            <wp:wrapSquare wrapText="bothSides" distT="152400" distB="152400" distL="152400" distR="152400"/>
            <wp:docPr id="107374186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009650" cy="1504950"/>
                    </a:xfrm>
                    <a:prstGeom prst="rect">
                      <a:avLst/>
                    </a:prstGeom>
                    <a:ln/>
                  </pic:spPr>
                </pic:pic>
              </a:graphicData>
            </a:graphic>
          </wp:anchor>
        </w:drawing>
      </w:r>
      <w:r>
        <w:rPr>
          <w:rFonts w:ascii="Cutive" w:eastAsia="Cutive" w:hAnsi="Cutive" w:cs="Cutive"/>
          <w:b/>
          <w:noProof/>
          <w:color w:val="232323"/>
          <w:sz w:val="30"/>
          <w:szCs w:val="30"/>
        </w:rPr>
        <w:drawing>
          <wp:anchor distT="152400" distB="152400" distL="152400" distR="152400" simplePos="0" relativeHeight="251679744" behindDoc="0" locked="0" layoutInCell="1" hidden="0" allowOverlap="1" wp14:anchorId="4D96B99B" wp14:editId="2A5B5690">
            <wp:simplePos x="0" y="0"/>
            <wp:positionH relativeFrom="margin">
              <wp:posOffset>139700</wp:posOffset>
            </wp:positionH>
            <wp:positionV relativeFrom="page">
              <wp:posOffset>635635</wp:posOffset>
            </wp:positionV>
            <wp:extent cx="888764" cy="510073"/>
            <wp:effectExtent l="0" t="0" r="0" b="0"/>
            <wp:wrapSquare wrapText="bothSides" distT="152400" distB="152400" distL="152400" distR="152400"/>
            <wp:docPr id="10737418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888764" cy="510073"/>
                    </a:xfrm>
                    <a:prstGeom prst="rect">
                      <a:avLst/>
                    </a:prstGeom>
                    <a:ln/>
                  </pic:spPr>
                </pic:pic>
              </a:graphicData>
            </a:graphic>
          </wp:anchor>
        </w:drawing>
      </w:r>
      <w:r>
        <w:rPr>
          <w:rFonts w:ascii="Cutive" w:eastAsia="Cutive" w:hAnsi="Cutive" w:cs="Cutive"/>
          <w:b/>
          <w:noProof/>
          <w:color w:val="232323"/>
          <w:sz w:val="30"/>
          <w:szCs w:val="30"/>
        </w:rPr>
        <w:drawing>
          <wp:anchor distT="152400" distB="152400" distL="152400" distR="152400" simplePos="0" relativeHeight="251680768" behindDoc="0" locked="0" layoutInCell="1" hidden="0" allowOverlap="1" wp14:anchorId="0D149155" wp14:editId="69181423">
            <wp:simplePos x="0" y="0"/>
            <wp:positionH relativeFrom="margin">
              <wp:posOffset>1222375</wp:posOffset>
            </wp:positionH>
            <wp:positionV relativeFrom="page">
              <wp:posOffset>889635</wp:posOffset>
            </wp:positionV>
            <wp:extent cx="730885" cy="216535"/>
            <wp:effectExtent l="0" t="0" r="0" b="0"/>
            <wp:wrapSquare wrapText="bothSides" distT="152400" distB="152400" distL="152400" distR="152400"/>
            <wp:docPr id="10737418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730885" cy="216535"/>
                    </a:xfrm>
                    <a:prstGeom prst="rect">
                      <a:avLst/>
                    </a:prstGeom>
                    <a:ln/>
                  </pic:spPr>
                </pic:pic>
              </a:graphicData>
            </a:graphic>
          </wp:anchor>
        </w:drawing>
      </w:r>
      <w:r>
        <w:rPr>
          <w:rFonts w:ascii="Cutive" w:eastAsia="Cutive" w:hAnsi="Cutive" w:cs="Cutive"/>
          <w:b/>
          <w:noProof/>
          <w:color w:val="232323"/>
          <w:sz w:val="30"/>
          <w:szCs w:val="30"/>
        </w:rPr>
        <w:drawing>
          <wp:anchor distT="152400" distB="152400" distL="152400" distR="152400" simplePos="0" relativeHeight="251681792" behindDoc="0" locked="0" layoutInCell="1" hidden="0" allowOverlap="1" wp14:anchorId="5BC96DA3" wp14:editId="597FE7C5">
            <wp:simplePos x="0" y="0"/>
            <wp:positionH relativeFrom="margin">
              <wp:posOffset>2195830</wp:posOffset>
            </wp:positionH>
            <wp:positionV relativeFrom="page">
              <wp:posOffset>682625</wp:posOffset>
            </wp:positionV>
            <wp:extent cx="1071245" cy="588645"/>
            <wp:effectExtent l="0" t="0" r="0" b="0"/>
            <wp:wrapSquare wrapText="bothSides" distT="152400" distB="152400" distL="152400" distR="152400"/>
            <wp:docPr id="10737418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071245" cy="588645"/>
                    </a:xfrm>
                    <a:prstGeom prst="rect">
                      <a:avLst/>
                    </a:prstGeom>
                    <a:ln/>
                  </pic:spPr>
                </pic:pic>
              </a:graphicData>
            </a:graphic>
          </wp:anchor>
        </w:drawing>
      </w:r>
    </w:p>
    <w:p w14:paraId="510F8032" w14:textId="5536E465" w:rsidR="00B0425E" w:rsidRDefault="0091024B">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rFonts w:ascii="Georgia" w:eastAsia="Georgia" w:hAnsi="Georgia" w:cs="Georgia"/>
          <w:b/>
          <w:color w:val="7A1C61"/>
          <w:sz w:val="26"/>
          <w:szCs w:val="26"/>
        </w:rPr>
        <w:sectPr w:rsidR="00B0425E">
          <w:headerReference w:type="default" r:id="rId31"/>
          <w:pgSz w:w="11906" w:h="16838"/>
          <w:pgMar w:top="1701" w:right="1134" w:bottom="1701" w:left="1134" w:header="709" w:footer="283" w:gutter="0"/>
          <w:cols w:space="720"/>
        </w:sectPr>
      </w:pPr>
      <w:r>
        <w:rPr>
          <w:rFonts w:ascii="Cutive" w:eastAsia="Cutive" w:hAnsi="Cutive" w:cs="Cutive"/>
          <w:b/>
          <w:color w:val="000000"/>
          <w:sz w:val="30"/>
          <w:szCs w:val="30"/>
        </w:rPr>
        <w:t>La influencia de los predictores del estudiante y escolares sobre el rendimiento lector de los estudiantes españoles</w:t>
      </w:r>
      <w:r w:rsidR="00B15593">
        <w:rPr>
          <w:rFonts w:ascii="Cutive" w:eastAsia="Cutive" w:hAnsi="Cutive" w:cs="Cutive"/>
          <w:b/>
          <w:color w:val="000000"/>
          <w:sz w:val="30"/>
          <w:szCs w:val="30"/>
        </w:rPr>
        <w:t xml:space="preserve"> y su implicación en la didáctica</w:t>
      </w:r>
    </w:p>
    <w:p w14:paraId="5AB5DD8C"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00"/>
        <w:rPr>
          <w:rFonts w:ascii="Georgia" w:eastAsia="Georgia" w:hAnsi="Georgia" w:cs="Georgia"/>
          <w:b/>
          <w:color w:val="7A1C61"/>
          <w:sz w:val="26"/>
          <w:szCs w:val="26"/>
        </w:rPr>
      </w:pPr>
      <w:r>
        <w:rPr>
          <w:rFonts w:ascii="Georgia" w:eastAsia="Georgia" w:hAnsi="Georgia" w:cs="Georgia"/>
          <w:b/>
          <w:color w:val="7A1C61"/>
          <w:sz w:val="26"/>
          <w:szCs w:val="26"/>
        </w:rPr>
        <w:t>INTRODUCCIÓN</w:t>
      </w:r>
    </w:p>
    <w:p w14:paraId="6820FC9C" w14:textId="77777777" w:rsidR="008D4F67" w:rsidRPr="0091024B" w:rsidRDefault="008D4F67" w:rsidP="008D4F67">
      <w:pPr>
        <w:keepNext/>
        <w:framePr w:dropCap="drop" w:lines="3" w:wrap="around" w:vAnchor="text" w:hAnchor="text"/>
        <w:pBdr>
          <w:top w:val="nil"/>
          <w:left w:val="nil"/>
          <w:between w:val="nil"/>
          <w:bar w:val="nil"/>
        </w:pBdr>
        <w:spacing w:line="793" w:lineRule="exact"/>
        <w:textAlignment w:val="baseline"/>
        <w:rPr>
          <w:sz w:val="166"/>
          <w:szCs w:val="166"/>
          <w:vertAlign w:val="subscript"/>
          <w:lang w:eastAsia="es-ES" w:bidi="es-ES"/>
        </w:rPr>
      </w:pPr>
      <w:r w:rsidRPr="0091024B">
        <w:rPr>
          <w:position w:val="-8"/>
          <w:sz w:val="166"/>
          <w:szCs w:val="166"/>
          <w:vertAlign w:val="subscript"/>
          <w:lang w:eastAsia="es-ES" w:bidi="es-ES"/>
        </w:rPr>
        <w:t>L</w:t>
      </w:r>
    </w:p>
    <w:p w14:paraId="5487D3EC"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a literatura científica demuestra la influencia  de los predictores del estudiante y escolares sobre el rendimiento académico, que incide sobre una educación de calidad y el nivel de desarrollo de un país. Entre los primeros destacan el rol de la escolarización temprana del alumnado en educación infantil, el contexto socioeconómico y los recursos disponibles en el hogar, mientras que entre los segundos figuran el énfasis escolar en el éxito del alumnado y las habilidades básicas de alfabetización (Cordero et al., 2021; </w:t>
      </w:r>
      <w:proofErr w:type="spellStart"/>
      <w:r w:rsidRPr="00730378">
        <w:rPr>
          <w:lang w:eastAsia="es-ES" w:bidi="es-ES"/>
        </w:rPr>
        <w:t>Stiff</w:t>
      </w:r>
      <w:proofErr w:type="spellEnd"/>
      <w:r w:rsidRPr="00730378">
        <w:rPr>
          <w:lang w:eastAsia="es-ES" w:bidi="es-ES"/>
        </w:rPr>
        <w:t xml:space="preserve"> et al., 2023). Uno de los estudios con más impacto en la educación es el Estudio Internacional de Progreso en Comprensión Lectora (</w:t>
      </w:r>
      <w:proofErr w:type="spellStart"/>
      <w:r w:rsidRPr="00730378">
        <w:rPr>
          <w:i/>
          <w:iCs/>
          <w:lang w:eastAsia="es-ES" w:bidi="es-ES"/>
        </w:rPr>
        <w:t>Progress</w:t>
      </w:r>
      <w:proofErr w:type="spellEnd"/>
      <w:r w:rsidRPr="00730378">
        <w:rPr>
          <w:i/>
          <w:iCs/>
          <w:lang w:eastAsia="es-ES" w:bidi="es-ES"/>
        </w:rPr>
        <w:t xml:space="preserve"> in International Reading </w:t>
      </w:r>
      <w:proofErr w:type="spellStart"/>
      <w:r w:rsidRPr="00730378">
        <w:rPr>
          <w:i/>
          <w:iCs/>
          <w:lang w:eastAsia="es-ES" w:bidi="es-ES"/>
        </w:rPr>
        <w:t>Literacy</w:t>
      </w:r>
      <w:proofErr w:type="spellEnd"/>
      <w:r w:rsidRPr="00730378">
        <w:rPr>
          <w:i/>
          <w:iCs/>
          <w:lang w:eastAsia="es-ES" w:bidi="es-ES"/>
        </w:rPr>
        <w:t>, PIRLS</w:t>
      </w:r>
      <w:r w:rsidRPr="00730378">
        <w:rPr>
          <w:lang w:eastAsia="es-ES" w:bidi="es-ES"/>
        </w:rPr>
        <w:t>), que evalúa el rendimiento lector del alumnado que se encuentra en el cuarto curso de escolaridad (</w:t>
      </w:r>
      <w:proofErr w:type="spellStart"/>
      <w:r w:rsidRPr="00730378">
        <w:rPr>
          <w:lang w:eastAsia="es-ES" w:bidi="es-ES"/>
        </w:rPr>
        <w:t>Egido</w:t>
      </w:r>
      <w:proofErr w:type="spellEnd"/>
      <w:r w:rsidRPr="00730378">
        <w:rPr>
          <w:lang w:eastAsia="es-ES" w:bidi="es-ES"/>
        </w:rPr>
        <w:t xml:space="preserve"> y Martínez-</w:t>
      </w:r>
      <w:proofErr w:type="spellStart"/>
      <w:r w:rsidRPr="00730378">
        <w:rPr>
          <w:lang w:eastAsia="es-ES" w:bidi="es-ES"/>
        </w:rPr>
        <w:t>Usarralde</w:t>
      </w:r>
      <w:proofErr w:type="spellEnd"/>
      <w:r w:rsidRPr="00730378">
        <w:rPr>
          <w:lang w:eastAsia="es-ES" w:bidi="es-ES"/>
        </w:rPr>
        <w:t xml:space="preserve">, 2019). El trabajo de Viramontes Anaya et al. (2019) muestra una correlación entre el rendimiento de los estudiantes de primaria y las variables de la comprensión lectora, como el vocabulario y la comprensión oral (Quezada </w:t>
      </w:r>
      <w:proofErr w:type="spellStart"/>
      <w:r w:rsidRPr="00730378">
        <w:rPr>
          <w:lang w:eastAsia="es-ES" w:bidi="es-ES"/>
        </w:rPr>
        <w:t>Gaponov</w:t>
      </w:r>
      <w:proofErr w:type="spellEnd"/>
      <w:r w:rsidRPr="00730378">
        <w:rPr>
          <w:lang w:eastAsia="es-ES" w:bidi="es-ES"/>
        </w:rPr>
        <w:t xml:space="preserve"> et al., 2024). </w:t>
      </w:r>
    </w:p>
    <w:p w14:paraId="79D9EA1C"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cuanto al primer predictor del estudiante, el contexto socioeconómico, la investigación demuestra que el estatus socioeconómico del alumnado promueve la alfabetización en el hogar, que incide en el desarrollo de habilidades lingüísticas y el aprendizaje de vocabulario (Liu y Chung, 2022; </w:t>
      </w:r>
      <w:proofErr w:type="spellStart"/>
      <w:r w:rsidRPr="00730378">
        <w:rPr>
          <w:lang w:eastAsia="es-ES" w:bidi="es-ES"/>
        </w:rPr>
        <w:t>Yeung</w:t>
      </w:r>
      <w:proofErr w:type="spellEnd"/>
      <w:r w:rsidRPr="00730378">
        <w:rPr>
          <w:lang w:eastAsia="es-ES" w:bidi="es-ES"/>
        </w:rPr>
        <w:t xml:space="preserve"> et al., 2022), de modo que se aprecia el efecto de los esfuerzos de las familias de contextos favorecidos por apoyar los logros de sus hijos (Park y Holloway, 2017). Constituye uno de los predictores más robustos del rendimiento académico del alumnado (Coleman et al., 1966). </w:t>
      </w:r>
    </w:p>
    <w:p w14:paraId="37F72B29"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lo que concierne al segundo predictor del estudiante, la investigación demuestra que el alumnado que ha asistido tres años o más a educación infantil desarrolla una mayor resiliencia hacia el aprendizaje, lo cual influye en el rendimiento (Cordero y Mateos-Romero, 2021; </w:t>
      </w:r>
      <w:proofErr w:type="spellStart"/>
      <w:r w:rsidRPr="00730378">
        <w:rPr>
          <w:lang w:eastAsia="es-ES" w:bidi="es-ES"/>
        </w:rPr>
        <w:t>Toste</w:t>
      </w:r>
      <w:proofErr w:type="spellEnd"/>
      <w:r w:rsidRPr="00730378">
        <w:rPr>
          <w:lang w:eastAsia="es-ES" w:bidi="es-ES"/>
        </w:rPr>
        <w:t xml:space="preserve"> et al., 2020), pues el conocimiento de los fonemas en tal etapa previene las dificultades en la comprensión lectora (Kaminski y Powell-Smith, 2017). En la edición de PIRLS 2011, los niños que no asistieron a educación infantil crecieron en hogares donde recibieron menos apoyo para aprender a leer que quienes asistieron durante tres o más años, con una diferencia de, al menos, 19 puntos en el rendimiento a favor de los últimos (</w:t>
      </w:r>
      <w:proofErr w:type="spellStart"/>
      <w:r w:rsidRPr="00730378">
        <w:rPr>
          <w:lang w:eastAsia="es-ES" w:bidi="es-ES"/>
        </w:rPr>
        <w:t>Hogrebe</w:t>
      </w:r>
      <w:proofErr w:type="spellEnd"/>
      <w:r w:rsidRPr="00730378">
        <w:rPr>
          <w:lang w:eastAsia="es-ES" w:bidi="es-ES"/>
        </w:rPr>
        <w:t xml:space="preserve"> y </w:t>
      </w:r>
      <w:proofErr w:type="spellStart"/>
      <w:r w:rsidRPr="00730378">
        <w:rPr>
          <w:lang w:eastAsia="es-ES" w:bidi="es-ES"/>
        </w:rPr>
        <w:t>Strietholt</w:t>
      </w:r>
      <w:proofErr w:type="spellEnd"/>
      <w:r w:rsidRPr="00730378">
        <w:rPr>
          <w:lang w:eastAsia="es-ES" w:bidi="es-ES"/>
        </w:rPr>
        <w:t>, 2016).</w:t>
      </w:r>
    </w:p>
    <w:p w14:paraId="203F8875"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Con respecto al tercer predictor del estudiante, la alfabetización temprana en casa antes de asistir al colegio por primera vez, la investigación demuestra que se trata de una variable predictora del rendimiento lector del alumnado, en tanto que influye en el conocimiento de los grafemas, la fluidez para nombrar las letras y la velocidad lectora (De la Calle et al., 2021; Saracho, 2017). Un estudio comparativo entre Dinamarca, Suecia y Francia sobre los predictores asociados al rendimiento lector del alumnado en la edición de PIRLS 2011 encuentra que la lectura de libros en casa y el conocimiento del alfabeto en la etapa de preescolar tienen un gran impacto sobre el rendimiento del alumnado en la educación básica (Costa y Araújo, 2018). El trabajo de </w:t>
      </w:r>
      <w:proofErr w:type="spellStart"/>
      <w:r w:rsidRPr="00730378">
        <w:rPr>
          <w:lang w:eastAsia="es-ES" w:bidi="es-ES"/>
        </w:rPr>
        <w:t>De</w:t>
      </w:r>
      <w:proofErr w:type="spellEnd"/>
      <w:r w:rsidRPr="00730378">
        <w:rPr>
          <w:lang w:eastAsia="es-ES" w:bidi="es-ES"/>
        </w:rPr>
        <w:t xml:space="preserve"> la Calle et al. (2019), que analiza la capacidad de predicción de ciertas habilidades cognitivas de 362 niños españoles en el último ciclo de Educación Infantil, encuentra que la velocidad de denominación de letras en esta etapa fue el mejor precursor temprano de la lectura inicial en español.</w:t>
      </w:r>
    </w:p>
    <w:p w14:paraId="4062ABB3"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En lo tocante al cuarto predictor del estudiante, la seguridad en la lectura (en qué medida el estudiante cree que es buen lector), la investigación demuestra que es una variable explicativa del rendimiento en PIRLS 2016, con un efecto estandarizado de, al menos, 29 puntos en la escala de puntuación para la mitad de los países participantes, entre los que destaca España (</w:t>
      </w:r>
      <w:proofErr w:type="spellStart"/>
      <w:r w:rsidRPr="00730378">
        <w:rPr>
          <w:lang w:eastAsia="es-ES" w:bidi="es-ES"/>
        </w:rPr>
        <w:t>Marôco</w:t>
      </w:r>
      <w:proofErr w:type="spellEnd"/>
      <w:r w:rsidRPr="00730378">
        <w:rPr>
          <w:lang w:eastAsia="es-ES" w:bidi="es-ES"/>
        </w:rPr>
        <w:t>, 2021). Asimismo, en esta misma edición de PIRLS, la confianza del alumnado en sus habilidades lectoras influye sobre su resiliencia y rendimiento en la comprensión lectora (García-Crespo et al., 2019). En este sentido, existe una correlación positiva y recíproca entre el autoconcepto lector y el rendimiento, que permite el desarrollo de las habilidades lectoras, como la fluidez (</w:t>
      </w:r>
      <w:proofErr w:type="spellStart"/>
      <w:r w:rsidRPr="00730378">
        <w:rPr>
          <w:lang w:eastAsia="es-ES" w:bidi="es-ES"/>
        </w:rPr>
        <w:t>Ehm</w:t>
      </w:r>
      <w:proofErr w:type="spellEnd"/>
      <w:r w:rsidRPr="00730378">
        <w:rPr>
          <w:lang w:eastAsia="es-ES" w:bidi="es-ES"/>
        </w:rPr>
        <w:t xml:space="preserve"> et al., 2019; Jensen et al., 2019). </w:t>
      </w:r>
    </w:p>
    <w:p w14:paraId="2461B889"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cuanto al primer predictor escolar, la composición del centro según el entorno del alumnado, la investigación demuestra la correlación positiva entre el alumnado que acude a un centro situado en un contexto favorecido y el rendimiento en lectura (Lee et al., 2015; Olsen y Huang, 2022). Existe una asociación entre la desigualdad de ingresos familiares y el rendimiento académico, que da lugar a la agrupación de estudiantes desfavorecidos en escuelas situadas en contextos socioeconómicos bajos (Owens, 2018; </w:t>
      </w:r>
      <w:proofErr w:type="spellStart"/>
      <w:r w:rsidRPr="00730378">
        <w:rPr>
          <w:lang w:eastAsia="es-ES" w:bidi="es-ES"/>
        </w:rPr>
        <w:t>Workman</w:t>
      </w:r>
      <w:proofErr w:type="spellEnd"/>
      <w:r w:rsidRPr="00730378">
        <w:rPr>
          <w:lang w:eastAsia="es-ES" w:bidi="es-ES"/>
        </w:rPr>
        <w:t xml:space="preserve">, 2022). </w:t>
      </w:r>
    </w:p>
    <w:p w14:paraId="53F136AF"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lo que concierne al segundo predictor escolar, el porcentaje de estudiantes con habilidades básicas que acude al centro educativo, la investigación demuestra una correlación negativa entre el porcentaje de estudiantes sin </w:t>
      </w:r>
      <w:r w:rsidRPr="00730378">
        <w:rPr>
          <w:lang w:eastAsia="es-ES" w:bidi="es-ES"/>
        </w:rPr>
        <w:lastRenderedPageBreak/>
        <w:t>habilidades básicas de alfabetización matriculados en un centro y el rendimiento medio en lectura del alumnado que acude a tal centro (</w:t>
      </w:r>
      <w:proofErr w:type="spellStart"/>
      <w:r w:rsidRPr="00730378">
        <w:rPr>
          <w:lang w:eastAsia="es-ES" w:bidi="es-ES"/>
        </w:rPr>
        <w:t>Mickelson</w:t>
      </w:r>
      <w:proofErr w:type="spellEnd"/>
      <w:r w:rsidRPr="00730378">
        <w:rPr>
          <w:lang w:eastAsia="es-ES" w:bidi="es-ES"/>
        </w:rPr>
        <w:t xml:space="preserve"> et al., 2020; </w:t>
      </w:r>
      <w:proofErr w:type="spellStart"/>
      <w:r w:rsidRPr="00730378">
        <w:rPr>
          <w:lang w:eastAsia="es-ES" w:bidi="es-ES"/>
        </w:rPr>
        <w:t>Yarnell</w:t>
      </w:r>
      <w:proofErr w:type="spellEnd"/>
      <w:r w:rsidRPr="00730378">
        <w:rPr>
          <w:lang w:eastAsia="es-ES" w:bidi="es-ES"/>
        </w:rPr>
        <w:t xml:space="preserve"> y </w:t>
      </w:r>
      <w:proofErr w:type="spellStart"/>
      <w:r w:rsidRPr="00730378">
        <w:rPr>
          <w:lang w:eastAsia="es-ES" w:bidi="es-ES"/>
        </w:rPr>
        <w:t>Bohrnstedt</w:t>
      </w:r>
      <w:proofErr w:type="spellEnd"/>
      <w:r w:rsidRPr="00730378">
        <w:rPr>
          <w:lang w:eastAsia="es-ES" w:bidi="es-ES"/>
        </w:rPr>
        <w:t>, 2018). Otros estudios encuentran que la distribución del alumnado entre diferentes escuelas y su inclusión dentro de las aulas, teniendo en cuenta su contexto socioeconómico y habilidades de alfabetización, están relacionados con el rendimiento (</w:t>
      </w:r>
      <w:proofErr w:type="spellStart"/>
      <w:r w:rsidRPr="00730378">
        <w:rPr>
          <w:lang w:eastAsia="es-ES" w:bidi="es-ES"/>
        </w:rPr>
        <w:t>Chiu</w:t>
      </w:r>
      <w:proofErr w:type="spellEnd"/>
      <w:r w:rsidRPr="00730378">
        <w:rPr>
          <w:lang w:eastAsia="es-ES" w:bidi="es-ES"/>
        </w:rPr>
        <w:t xml:space="preserve"> et al., 2017; </w:t>
      </w:r>
      <w:proofErr w:type="spellStart"/>
      <w:r w:rsidRPr="00730378">
        <w:rPr>
          <w:lang w:eastAsia="es-ES" w:bidi="es-ES"/>
        </w:rPr>
        <w:t>Haughbrook</w:t>
      </w:r>
      <w:proofErr w:type="spellEnd"/>
      <w:r w:rsidRPr="00730378">
        <w:rPr>
          <w:lang w:eastAsia="es-ES" w:bidi="es-ES"/>
        </w:rPr>
        <w:t xml:space="preserve"> et al., 2017). </w:t>
      </w:r>
    </w:p>
    <w:p w14:paraId="67CBCC63"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cuanto al tercer predictor escolar, el énfasis del centro en el éxito académico del alumnado, que se refiere a las acciones que llevan a cabo el profesorado, el alumnado y las familias para crear un ambiente positivo y productivo, la investigación demuestra que la participación de los padres en las actividades académicas y la colaboración entre el hogar y la escuela en propuestas de aprendizaje predicen el rendimiento en lectura de los estudiantes (Anthony y Ogg, 2019), que confirma la asociación entre el énfasis de una escuela en el éxito académico y el rendimiento (Li et al., 2023; Nilsen y </w:t>
      </w:r>
      <w:proofErr w:type="spellStart"/>
      <w:r w:rsidRPr="00730378">
        <w:rPr>
          <w:lang w:eastAsia="es-ES" w:bidi="es-ES"/>
        </w:rPr>
        <w:t>Gustafsson</w:t>
      </w:r>
      <w:proofErr w:type="spellEnd"/>
      <w:r w:rsidRPr="00730378">
        <w:rPr>
          <w:lang w:eastAsia="es-ES" w:bidi="es-ES"/>
        </w:rPr>
        <w:t xml:space="preserve">, 2014), pues los estudiantes encuentran modelos a seguir más positivos en las escuelas con altas expectativas. El trabajo de </w:t>
      </w:r>
      <w:proofErr w:type="spellStart"/>
      <w:r w:rsidRPr="00730378">
        <w:rPr>
          <w:lang w:eastAsia="es-ES" w:bidi="es-ES"/>
        </w:rPr>
        <w:t>Lopes</w:t>
      </w:r>
      <w:proofErr w:type="spellEnd"/>
      <w:r w:rsidRPr="00730378">
        <w:rPr>
          <w:lang w:eastAsia="es-ES" w:bidi="es-ES"/>
        </w:rPr>
        <w:t xml:space="preserve"> et al. (2022) encuentra que el énfasis de la escuela en el éxito académico es el único factor escolar que predice el logro en lectura de los estudiantes portugueses, en la edición de PIRLS 2016.  </w:t>
      </w:r>
    </w:p>
    <w:p w14:paraId="106CD2A0"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Con respecto al cuarto predictor escolar, el tiempo de enseñanza, existen estudios con diferentes resultados sobre su efecto en el rendimiento lector del alumnado. El trabajo de </w:t>
      </w:r>
      <w:proofErr w:type="spellStart"/>
      <w:r w:rsidRPr="00730378">
        <w:rPr>
          <w:lang w:eastAsia="es-ES" w:bidi="es-ES"/>
        </w:rPr>
        <w:t>Figlio</w:t>
      </w:r>
      <w:proofErr w:type="spellEnd"/>
      <w:r w:rsidRPr="00730378">
        <w:rPr>
          <w:lang w:eastAsia="es-ES" w:bidi="es-ES"/>
        </w:rPr>
        <w:t xml:space="preserve"> et al. (2018), cuyo objetivo es estimar los efectos de alargar la jornada escolar en escuelas de bajo rendimiento en Florida, encuentra un efecto significativo del tiempo de enseñanza adicional sobre el rendimiento. El trabajo de Thompson (2021) encuentra que el aumento de una hora semanal de enseñanza en escuelas de Oregón conduce a un aumento leve en el rendimiento en lectura. Otros estudios concluyen que el tiempo de enseñanza en educación primaria no influye sobre el rendimiento lector (</w:t>
      </w:r>
      <w:proofErr w:type="spellStart"/>
      <w:r w:rsidRPr="00730378">
        <w:rPr>
          <w:lang w:eastAsia="es-ES" w:bidi="es-ES"/>
        </w:rPr>
        <w:t>Brill</w:t>
      </w:r>
      <w:proofErr w:type="spellEnd"/>
      <w:r w:rsidRPr="00730378">
        <w:rPr>
          <w:lang w:eastAsia="es-ES" w:bidi="es-ES"/>
        </w:rPr>
        <w:t xml:space="preserve"> y Wang, 2021; </w:t>
      </w:r>
      <w:proofErr w:type="spellStart"/>
      <w:r w:rsidRPr="00730378">
        <w:rPr>
          <w:lang w:eastAsia="es-ES" w:bidi="es-ES"/>
        </w:rPr>
        <w:t>Lavy</w:t>
      </w:r>
      <w:proofErr w:type="spellEnd"/>
      <w:r w:rsidRPr="00730378">
        <w:rPr>
          <w:lang w:eastAsia="es-ES" w:bidi="es-ES"/>
        </w:rPr>
        <w:t>, 2020).</w:t>
      </w:r>
    </w:p>
    <w:p w14:paraId="39D903BD"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La base de datos del estudio PIRLS 2021 proporciona una información valiosa y necesaria para conocer el impacto de los predictores descritos sobre el rendimiento lector del alumnado de educación primaria, de modo que permite avanzar en el conocimiento sobre las tendencias en el rendimiento y los diferentes contextos educativos del aprendizaje de la lectura (el hogar y el centro) (Ministerio de Educación y Formación Profesional, 2023a, 2023b). El repositorio de PIRLS 2021 ofrece datos de 57 países, de modo que, en primer lugar, se filtraron los datos para acceder a los datos de España (</w:t>
      </w:r>
      <w:proofErr w:type="spellStart"/>
      <w:r w:rsidRPr="00730378">
        <w:rPr>
          <w:lang w:eastAsia="es-ES" w:bidi="es-ES"/>
        </w:rPr>
        <w:t>Fishbein</w:t>
      </w:r>
      <w:proofErr w:type="spellEnd"/>
      <w:r w:rsidRPr="00730378">
        <w:rPr>
          <w:lang w:eastAsia="es-ES" w:bidi="es-ES"/>
        </w:rPr>
        <w:t xml:space="preserve"> et al., 2024). La puntuación media del alumnado en España (521) se sitúa por debajo del promedio de los países de la </w:t>
      </w:r>
      <w:r w:rsidRPr="00730378">
        <w:rPr>
          <w:i/>
          <w:iCs/>
          <w:lang w:eastAsia="es-ES" w:bidi="es-ES"/>
        </w:rPr>
        <w:t>Organización</w:t>
      </w:r>
      <w:r w:rsidRPr="00730378">
        <w:rPr>
          <w:lang w:eastAsia="es-ES" w:bidi="es-ES"/>
        </w:rPr>
        <w:t> para la </w:t>
      </w:r>
      <w:r w:rsidRPr="00730378">
        <w:rPr>
          <w:i/>
          <w:iCs/>
          <w:lang w:eastAsia="es-ES" w:bidi="es-ES"/>
        </w:rPr>
        <w:t>Cooperación</w:t>
      </w:r>
      <w:r w:rsidRPr="00730378">
        <w:rPr>
          <w:lang w:eastAsia="es-ES" w:bidi="es-ES"/>
        </w:rPr>
        <w:t> y el </w:t>
      </w:r>
      <w:r w:rsidRPr="00730378">
        <w:rPr>
          <w:i/>
          <w:iCs/>
          <w:lang w:eastAsia="es-ES" w:bidi="es-ES"/>
        </w:rPr>
        <w:t>Desarrollo Económicos (</w:t>
      </w:r>
      <w:r w:rsidRPr="00730378">
        <w:rPr>
          <w:lang w:eastAsia="es-ES" w:bidi="es-ES"/>
        </w:rPr>
        <w:t>OCDE) (533) y de los países de la Unión Europea (528) (Ministerio de Educación y Formación Profesional, 2023a, p. 51).</w:t>
      </w:r>
    </w:p>
    <w:p w14:paraId="55714BAA"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Por ello, el primer objetivo de esta investigación es conocer el perfil lector del alumno medio que ha participado en el estudio PIRLS 2021. El segundo objetivo es predecir la influencia de los predictores del estudiante y escolares sobre el rendimiento lector.</w:t>
      </w:r>
    </w:p>
    <w:p w14:paraId="7670A913" w14:textId="77777777" w:rsidR="008D4F67" w:rsidRPr="00730378" w:rsidRDefault="008D4F67" w:rsidP="0091024B">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800"/>
        <w:rPr>
          <w:rFonts w:ascii="Georgia" w:eastAsia="Arial Unicode MS" w:hAnsi="Georgia" w:cs="Arial Unicode MS"/>
          <w:b/>
          <w:bCs/>
          <w:color w:val="7A1C61"/>
          <w:sz w:val="26"/>
          <w:szCs w:val="26"/>
          <w:bdr w:val="nil"/>
          <w:lang w:eastAsia="es-ES"/>
        </w:rPr>
      </w:pPr>
      <w:r w:rsidRPr="00730378">
        <w:rPr>
          <w:rFonts w:ascii="Georgia" w:eastAsia="Arial Unicode MS" w:hAnsi="Georgia" w:cs="Arial Unicode MS"/>
          <w:b/>
          <w:bCs/>
          <w:color w:val="7A1C61"/>
          <w:sz w:val="26"/>
          <w:szCs w:val="26"/>
          <w:bdr w:val="nil"/>
          <w:lang w:eastAsia="es-ES"/>
        </w:rPr>
        <w:t>METODOLOGÍA</w:t>
      </w:r>
    </w:p>
    <w:p w14:paraId="186048FB" w14:textId="77777777" w:rsidR="0091024B" w:rsidRDefault="008D4F67" w:rsidP="0091024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800"/>
        <w:rPr>
          <w:rFonts w:eastAsia="Arial Unicode MS" w:cs="Arial Unicode MS"/>
          <w:i/>
          <w:iCs/>
          <w:color w:val="000000"/>
          <w:bdr w:val="nil"/>
          <w:lang w:eastAsia="es-ES"/>
        </w:rPr>
      </w:pPr>
      <w:r w:rsidRPr="00730378">
        <w:rPr>
          <w:rFonts w:eastAsia="Arial Unicode MS" w:cs="Arial Unicode MS"/>
          <w:i/>
          <w:iCs/>
          <w:color w:val="000000"/>
          <w:bdr w:val="nil"/>
          <w:lang w:eastAsia="es-ES"/>
        </w:rPr>
        <w:t>Participante</w:t>
      </w:r>
      <w:r w:rsidR="0091024B">
        <w:rPr>
          <w:rFonts w:eastAsia="Arial Unicode MS" w:cs="Arial Unicode MS"/>
          <w:i/>
          <w:iCs/>
          <w:color w:val="000000"/>
          <w:bdr w:val="nil"/>
          <w:lang w:eastAsia="es-ES"/>
        </w:rPr>
        <w:t>s</w:t>
      </w:r>
    </w:p>
    <w:p w14:paraId="76765D28" w14:textId="1F17E248" w:rsidR="008D4F67" w:rsidRPr="0091024B" w:rsidRDefault="0031476F" w:rsidP="0091024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799"/>
        <w:contextualSpacing/>
        <w:rPr>
          <w:rFonts w:eastAsia="Arial Unicode MS" w:cs="Arial Unicode MS"/>
          <w:color w:val="000000"/>
          <w:bdr w:val="nil"/>
          <w:lang w:eastAsia="es-ES"/>
        </w:rPr>
      </w:pPr>
      <w:r>
        <w:rPr>
          <w:rFonts w:eastAsia="Arial Unicode MS"/>
          <w:color w:val="000000"/>
          <w:sz w:val="166"/>
          <w:szCs w:val="166"/>
          <w:bdr w:val="nil"/>
          <w:vertAlign w:val="subscript"/>
          <w:lang w:eastAsia="es-ES"/>
        </w:rPr>
        <w:t>C</w:t>
      </w:r>
      <w:r w:rsidR="008D4F67" w:rsidRPr="00730378">
        <w:rPr>
          <w:rFonts w:eastAsia="Arial Unicode MS"/>
          <w:color w:val="000000"/>
          <w:bdr w:val="nil"/>
          <w:lang w:eastAsia="es-ES"/>
        </w:rPr>
        <w:t>on el fin de representar a la población</w:t>
      </w:r>
      <w:r w:rsidR="0091024B">
        <w:rPr>
          <w:rFonts w:eastAsia="Arial Unicode MS"/>
          <w:color w:val="000000"/>
          <w:bdr w:val="nil"/>
          <w:lang w:eastAsia="es-ES"/>
        </w:rPr>
        <w:t xml:space="preserve"> </w:t>
      </w:r>
      <w:r w:rsidR="008D4F67" w:rsidRPr="00730378">
        <w:rPr>
          <w:rFonts w:eastAsia="Arial Unicode MS"/>
          <w:color w:val="000000"/>
          <w:bdr w:val="nil"/>
          <w:lang w:eastAsia="es-ES"/>
        </w:rPr>
        <w:t>objetivo con una significatividad del 95 %, cada país selecciona una muestra representativa del alumnado a escala nacional, a partir de un diseño con un mínimo de 150 centros y una o más clases completas (Ministerio de Educación y Formación Profesional, 2023a, p. 15). La muestra participante del estudio PIRLS 2021 en España está formada por 8.551 estudiantes de 4º de Educación Primaria (52,1% de niños, 47,9% de niñas), que proceden de 525 centros educativos.</w:t>
      </w:r>
    </w:p>
    <w:p w14:paraId="35E0C317" w14:textId="77777777" w:rsidR="008D4F67" w:rsidRPr="00730378" w:rsidRDefault="008D4F67" w:rsidP="008D4F6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800"/>
        <w:rPr>
          <w:rFonts w:eastAsia="Arial Unicode MS"/>
          <w:i/>
          <w:iCs/>
          <w:color w:val="000000"/>
          <w:bdr w:val="nil"/>
          <w:lang w:eastAsia="es-ES"/>
        </w:rPr>
      </w:pPr>
      <w:r w:rsidRPr="00730378">
        <w:rPr>
          <w:rFonts w:eastAsia="Arial Unicode MS" w:cs="Arial Unicode MS"/>
          <w:i/>
          <w:iCs/>
          <w:color w:val="000000"/>
          <w:bdr w:val="nil"/>
          <w:lang w:eastAsia="es-ES"/>
        </w:rPr>
        <w:t>Instrumentos</w:t>
      </w:r>
      <w:r w:rsidRPr="00730378">
        <w:rPr>
          <w:rFonts w:eastAsia="Arial Unicode MS" w:cs="Arial Unicode MS"/>
          <w:color w:val="232323"/>
          <w:bdr w:val="nil"/>
          <w:lang w:eastAsia="es-ES"/>
        </w:rPr>
        <w:t xml:space="preserve"> </w:t>
      </w:r>
    </w:p>
    <w:p w14:paraId="0AA91111"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este estudio, se han utilizado tres cuestionarios de PIRLS 2021 (Ministerio de Educación y Formación Profesional, 2023a, p. 30; </w:t>
      </w:r>
      <w:proofErr w:type="spellStart"/>
      <w:r w:rsidRPr="00730378">
        <w:rPr>
          <w:lang w:eastAsia="es-ES" w:bidi="es-ES"/>
        </w:rPr>
        <w:t>Von</w:t>
      </w:r>
      <w:proofErr w:type="spellEnd"/>
      <w:r w:rsidRPr="00730378">
        <w:rPr>
          <w:lang w:eastAsia="es-ES" w:bidi="es-ES"/>
        </w:rPr>
        <w:t xml:space="preserve"> </w:t>
      </w:r>
      <w:proofErr w:type="spellStart"/>
      <w:r w:rsidRPr="00730378">
        <w:rPr>
          <w:lang w:eastAsia="es-ES" w:bidi="es-ES"/>
        </w:rPr>
        <w:t>Davier</w:t>
      </w:r>
      <w:proofErr w:type="spellEnd"/>
      <w:r w:rsidRPr="00730378">
        <w:rPr>
          <w:lang w:eastAsia="es-ES" w:bidi="es-ES"/>
        </w:rPr>
        <w:t xml:space="preserve"> et al., 2023):</w:t>
      </w:r>
    </w:p>
    <w:p w14:paraId="13006623"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w:t>
      </w:r>
      <w:r w:rsidRPr="00730378">
        <w:rPr>
          <w:i/>
          <w:iCs/>
          <w:lang w:eastAsia="es-ES" w:bidi="es-ES"/>
        </w:rPr>
        <w:t>Cuestionario del centro</w:t>
      </w:r>
      <w:r w:rsidRPr="00730378">
        <w:rPr>
          <w:lang w:eastAsia="es-ES" w:bidi="es-ES"/>
        </w:rPr>
        <w:t xml:space="preserve">: Cumplimentado por los directores sobre las características del colegio, incluye preguntas sobre las características del centro educativo, tales como el entorno escolar, datos estadísticos sobre los estudiantes y la disponibilidad de recursos educativos y tecnológicos. Su cumplimentación lleva 30 minutos. </w:t>
      </w:r>
    </w:p>
    <w:p w14:paraId="115AFF9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w:t>
      </w:r>
      <w:r w:rsidRPr="00730378">
        <w:rPr>
          <w:i/>
          <w:iCs/>
          <w:lang w:eastAsia="es-ES" w:bidi="es-ES"/>
        </w:rPr>
        <w:t>Cuestionario de progreso en comprensión lectora</w:t>
      </w:r>
      <w:r w:rsidRPr="00730378">
        <w:rPr>
          <w:lang w:eastAsia="es-ES" w:bidi="es-ES"/>
        </w:rPr>
        <w:t>: Cumplimentado por los progenitores o los tutores legales de cada estudiante, recoge información sobre el contexto familiar, como los idiomas que se hablan en casa, las actividades de lectura realizadas en casa, la ocupación y las actitudes de los progenitores hacia la lectura. Asimismo, recoge información sobre las actividades de alfabetización en la primera infancia y la preparación de cada estudiante en casa para la lectura al comienzo de la educación primaria. Su cumplimentación lleva 15 minutos.</w:t>
      </w:r>
    </w:p>
    <w:p w14:paraId="6B0C2A81"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w:t>
      </w:r>
      <w:r w:rsidRPr="00730378">
        <w:rPr>
          <w:i/>
          <w:iCs/>
          <w:lang w:eastAsia="es-ES" w:bidi="es-ES"/>
        </w:rPr>
        <w:t>Cuestionario del alumnado</w:t>
      </w:r>
      <w:r w:rsidRPr="00730378">
        <w:rPr>
          <w:lang w:eastAsia="es-ES" w:bidi="es-ES"/>
        </w:rPr>
        <w:t xml:space="preserve">: Se entrega a cada alumno cuando finaliza la evaluación de la lectura. Recopila información sobre el entorno familiar (por ejemplo, el número de libros en casa y los recursos domésticos para el aprendizaje), los sentimientos de pertenencia al centro, los hábitos de lectura fuera del centro, las experiencias en el </w:t>
      </w:r>
      <w:r w:rsidRPr="00730378">
        <w:rPr>
          <w:lang w:eastAsia="es-ES" w:bidi="es-ES"/>
        </w:rPr>
        <w:lastRenderedPageBreak/>
        <w:t>centro, la actitud hacia la lectura y la seguridad que tiene en sí mismo al leer. Su cumplimentación lleva 30 minutos.</w:t>
      </w:r>
    </w:p>
    <w:p w14:paraId="4CC79139"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El proceso de creación y validación de los instrumentos se divide en dos fases (Mullis y Martin, 2019). </w:t>
      </w:r>
    </w:p>
    <w:p w14:paraId="1F1B0303"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la primera, se construyeron los cuestionarios utilizando la Teoría de Respuesta al Ítem (TRI), específicamente el modelo de </w:t>
      </w:r>
      <w:proofErr w:type="spellStart"/>
      <w:r w:rsidRPr="00730378">
        <w:rPr>
          <w:lang w:eastAsia="es-ES" w:bidi="es-ES"/>
        </w:rPr>
        <w:t>Rasch</w:t>
      </w:r>
      <w:proofErr w:type="spellEnd"/>
      <w:r w:rsidRPr="00730378">
        <w:rPr>
          <w:lang w:eastAsia="es-ES" w:bidi="es-ES"/>
        </w:rPr>
        <w:t xml:space="preserve">, que permite que las respuestas de las personas encuestadas al ítem dependan solo de ese nivel (la respuesta a un ítem no influye en la respuesta dada a otro ítem) y cada ítem sólo mide un aspecto. Este proceso confirma la validez de cada instrumento, que hace referencia al grado en que el cuestionario mide aquella variable que pretende medir. </w:t>
      </w:r>
    </w:p>
    <w:p w14:paraId="6A4F529E"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En la segunda, se calcularon los índices de fiabilidad de los instrumentos mediante los coeficientes de Alpha de Cronbach, que miden la consistencia interna entre los ítems. El Cuestionario del centro tiene un Alpha de Cronbach = .80, el Cuestionario de Comprensión lectora = .87 y el Cuestionario del alumnado =.85. Estos coeficientes indican un nivel excelente de consistencia interna entre los ítems.</w:t>
      </w:r>
    </w:p>
    <w:p w14:paraId="00217103" w14:textId="77777777" w:rsidR="008D4F67" w:rsidRPr="00730378" w:rsidRDefault="008D4F67" w:rsidP="008D4F67">
      <w:pPr>
        <w:pBdr>
          <w:top w:val="nil"/>
          <w:left w:val="nil"/>
          <w:bottom w:val="nil"/>
          <w:right w:val="nil"/>
          <w:between w:val="nil"/>
          <w:bar w:val="nil"/>
        </w:pBdr>
        <w:spacing w:line="240" w:lineRule="auto"/>
        <w:rPr>
          <w:rFonts w:eastAsia="Arial Unicode MS"/>
          <w:i/>
          <w:iCs/>
          <w:bdr w:val="nil"/>
          <w:lang w:eastAsia="es-ES"/>
        </w:rPr>
      </w:pPr>
      <w:r w:rsidRPr="00730378">
        <w:rPr>
          <w:rFonts w:eastAsia="Arial Unicode MS"/>
          <w:i/>
          <w:iCs/>
          <w:bdr w:val="nil"/>
          <w:lang w:eastAsia="es-ES"/>
        </w:rPr>
        <w:t xml:space="preserve">Procedimiento </w:t>
      </w:r>
    </w:p>
    <w:p w14:paraId="1DF92C00"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Conforme a los objetivos planteados, las variables analizadas se dividen en dos grupos: del estudiante y escolares. </w:t>
      </w:r>
    </w:p>
    <w:p w14:paraId="7B19C06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La Tabla 1 muestra las variables analizadas en la investigación y su codificación en el estudio PIRLS 2021. </w:t>
      </w:r>
    </w:p>
    <w:p w14:paraId="25F75E27" w14:textId="77777777" w:rsidR="008D4F67" w:rsidRPr="00730378" w:rsidRDefault="008D4F67" w:rsidP="008D4F67">
      <w:pPr>
        <w:pBdr>
          <w:top w:val="nil"/>
          <w:left w:val="nil"/>
          <w:bottom w:val="nil"/>
          <w:right w:val="nil"/>
          <w:between w:val="nil"/>
          <w:bar w:val="nil"/>
        </w:pBdr>
        <w:spacing w:line="240" w:lineRule="auto"/>
        <w:rPr>
          <w:b/>
          <w:bCs/>
          <w:lang w:eastAsia="es-ES" w:bidi="es-ES"/>
        </w:rPr>
      </w:pPr>
      <w:r w:rsidRPr="00730378">
        <w:rPr>
          <w:b/>
          <w:bCs/>
          <w:lang w:eastAsia="es-ES" w:bidi="es-ES"/>
        </w:rPr>
        <w:t xml:space="preserve">Tabla 1. </w:t>
      </w:r>
      <w:r w:rsidRPr="00730378">
        <w:rPr>
          <w:i/>
          <w:iCs/>
          <w:lang w:eastAsia="es-ES" w:bidi="es-ES"/>
        </w:rPr>
        <w:t>Variables analizadas del estudio PIRLS 2021</w:t>
      </w:r>
    </w:p>
    <w:p w14:paraId="1DE3C820" w14:textId="77777777" w:rsidR="008D4F67" w:rsidRPr="00730378" w:rsidRDefault="008D4F67" w:rsidP="008D4F67">
      <w:pPr>
        <w:pBdr>
          <w:top w:val="nil"/>
          <w:left w:val="nil"/>
          <w:bottom w:val="nil"/>
          <w:right w:val="nil"/>
          <w:between w:val="nil"/>
          <w:bar w:val="nil"/>
        </w:pBdr>
        <w:spacing w:line="240" w:lineRule="auto"/>
        <w:rPr>
          <w:i/>
          <w:iCs/>
          <w:lang w:eastAsia="es-ES" w:bidi="es-ES"/>
        </w:rPr>
      </w:pPr>
    </w:p>
    <w:tbl>
      <w:tblPr>
        <w:tblW w:w="0" w:type="auto"/>
        <w:tblBorders>
          <w:bottom w:val="single" w:sz="4" w:space="0" w:color="auto"/>
          <w:insideH w:val="single" w:sz="4" w:space="0" w:color="auto"/>
        </w:tblBorders>
        <w:tblLook w:val="04A0" w:firstRow="1" w:lastRow="0" w:firstColumn="1" w:lastColumn="0" w:noHBand="0" w:noVBand="1"/>
      </w:tblPr>
      <w:tblGrid>
        <w:gridCol w:w="2576"/>
        <w:gridCol w:w="1883"/>
      </w:tblGrid>
      <w:tr w:rsidR="008D4F67" w:rsidRPr="00730378" w14:paraId="52D598A7" w14:textId="77777777" w:rsidTr="00262789">
        <w:tc>
          <w:tcPr>
            <w:tcW w:w="2872" w:type="dxa"/>
            <w:tcBorders>
              <w:top w:val="single" w:sz="4" w:space="0" w:color="auto"/>
            </w:tcBorders>
          </w:tcPr>
          <w:p w14:paraId="468131D1" w14:textId="77777777" w:rsidR="008D4F67" w:rsidRPr="00730378" w:rsidRDefault="008D4F67" w:rsidP="00262789">
            <w:pPr>
              <w:pBdr>
                <w:top w:val="nil"/>
                <w:left w:val="nil"/>
                <w:bottom w:val="nil"/>
                <w:right w:val="nil"/>
                <w:between w:val="nil"/>
                <w:bar w:val="nil"/>
              </w:pBdr>
              <w:spacing w:line="240" w:lineRule="auto"/>
              <w:rPr>
                <w:b/>
                <w:bCs/>
                <w:lang w:eastAsia="es-ES" w:bidi="es-ES"/>
              </w:rPr>
            </w:pPr>
            <w:r w:rsidRPr="00730378">
              <w:rPr>
                <w:b/>
                <w:bCs/>
                <w:lang w:eastAsia="es-ES" w:bidi="es-ES"/>
              </w:rPr>
              <w:t>Variables</w:t>
            </w:r>
          </w:p>
        </w:tc>
        <w:tc>
          <w:tcPr>
            <w:tcW w:w="2036" w:type="dxa"/>
            <w:vMerge w:val="restart"/>
            <w:tcBorders>
              <w:top w:val="single" w:sz="4" w:space="0" w:color="auto"/>
            </w:tcBorders>
          </w:tcPr>
          <w:p w14:paraId="6560EF9F" w14:textId="77777777" w:rsidR="008D4F67" w:rsidRPr="00730378" w:rsidRDefault="008D4F67" w:rsidP="00262789">
            <w:pPr>
              <w:pBdr>
                <w:top w:val="nil"/>
                <w:left w:val="nil"/>
                <w:bottom w:val="nil"/>
                <w:right w:val="nil"/>
                <w:between w:val="nil"/>
                <w:bar w:val="nil"/>
              </w:pBdr>
              <w:spacing w:line="240" w:lineRule="auto"/>
              <w:rPr>
                <w:b/>
                <w:bCs/>
                <w:lang w:eastAsia="es-ES" w:bidi="es-ES"/>
              </w:rPr>
            </w:pPr>
            <w:r w:rsidRPr="00730378">
              <w:rPr>
                <w:b/>
                <w:bCs/>
                <w:lang w:eastAsia="es-ES" w:bidi="es-ES"/>
              </w:rPr>
              <w:t>Codificación</w:t>
            </w:r>
          </w:p>
        </w:tc>
      </w:tr>
      <w:tr w:rsidR="008D4F67" w:rsidRPr="00730378" w14:paraId="1A6F9FB3" w14:textId="77777777" w:rsidTr="00262789">
        <w:tc>
          <w:tcPr>
            <w:tcW w:w="2872" w:type="dxa"/>
          </w:tcPr>
          <w:p w14:paraId="674E1C1A" w14:textId="77777777" w:rsidR="008D4F67" w:rsidRPr="00730378" w:rsidRDefault="008D4F67" w:rsidP="00262789">
            <w:pPr>
              <w:pBdr>
                <w:top w:val="nil"/>
                <w:left w:val="nil"/>
                <w:bottom w:val="nil"/>
                <w:right w:val="nil"/>
                <w:between w:val="nil"/>
                <w:bar w:val="nil"/>
              </w:pBdr>
              <w:spacing w:line="240" w:lineRule="auto"/>
              <w:rPr>
                <w:i/>
                <w:iCs/>
                <w:lang w:eastAsia="es-ES" w:bidi="es-ES"/>
              </w:rPr>
            </w:pPr>
            <w:r w:rsidRPr="00730378">
              <w:rPr>
                <w:i/>
                <w:iCs/>
                <w:lang w:eastAsia="es-ES" w:bidi="es-ES"/>
              </w:rPr>
              <w:t>Predictores del estudiante</w:t>
            </w:r>
          </w:p>
        </w:tc>
        <w:tc>
          <w:tcPr>
            <w:tcW w:w="2036" w:type="dxa"/>
            <w:vMerge/>
          </w:tcPr>
          <w:p w14:paraId="3A98FEB1" w14:textId="77777777" w:rsidR="008D4F67" w:rsidRPr="00730378" w:rsidRDefault="008D4F67" w:rsidP="00262789">
            <w:pPr>
              <w:pBdr>
                <w:top w:val="nil"/>
                <w:left w:val="nil"/>
                <w:bottom w:val="nil"/>
                <w:right w:val="nil"/>
                <w:between w:val="nil"/>
                <w:bar w:val="nil"/>
              </w:pBdr>
              <w:spacing w:line="240" w:lineRule="auto"/>
              <w:rPr>
                <w:lang w:eastAsia="es-ES" w:bidi="es-ES"/>
              </w:rPr>
            </w:pPr>
          </w:p>
        </w:tc>
      </w:tr>
      <w:tr w:rsidR="008D4F67" w:rsidRPr="00730378" w14:paraId="12D8BA62" w14:textId="77777777" w:rsidTr="00262789">
        <w:tc>
          <w:tcPr>
            <w:tcW w:w="2872" w:type="dxa"/>
          </w:tcPr>
          <w:p w14:paraId="474E4FDF"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Contexto socioeconómico del alumnado</w:t>
            </w:r>
          </w:p>
        </w:tc>
        <w:tc>
          <w:tcPr>
            <w:tcW w:w="2036" w:type="dxa"/>
          </w:tcPr>
          <w:p w14:paraId="225B008B"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Bajo</w:t>
            </w:r>
          </w:p>
          <w:p w14:paraId="1830A8DE"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 Medio</w:t>
            </w:r>
          </w:p>
          <w:p w14:paraId="1DCB145B"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 Alto</w:t>
            </w:r>
          </w:p>
        </w:tc>
      </w:tr>
      <w:tr w:rsidR="008D4F67" w:rsidRPr="00730378" w14:paraId="4B297145" w14:textId="77777777" w:rsidTr="00262789">
        <w:tc>
          <w:tcPr>
            <w:tcW w:w="2872" w:type="dxa"/>
          </w:tcPr>
          <w:p w14:paraId="1F72F47B"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 xml:space="preserve">Años en los que el alumnado ha estado escolarizado en educación infantil </w:t>
            </w:r>
          </w:p>
        </w:tc>
        <w:tc>
          <w:tcPr>
            <w:tcW w:w="2036" w:type="dxa"/>
          </w:tcPr>
          <w:p w14:paraId="1819D2FA"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No ha estado escolarizado en educación infantil</w:t>
            </w:r>
          </w:p>
          <w:p w14:paraId="31BF6E74"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1 año o menos</w:t>
            </w:r>
          </w:p>
          <w:p w14:paraId="17FD235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2 años</w:t>
            </w:r>
          </w:p>
          <w:p w14:paraId="6542B512"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3= 3 años o más</w:t>
            </w:r>
          </w:p>
        </w:tc>
      </w:tr>
      <w:tr w:rsidR="008D4F67" w:rsidRPr="00730378" w14:paraId="77B103FD" w14:textId="77777777" w:rsidTr="00262789">
        <w:tc>
          <w:tcPr>
            <w:tcW w:w="2872" w:type="dxa"/>
          </w:tcPr>
          <w:p w14:paraId="0FEB35F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Frecuencia con la que leyó libros con algún familiar en casa antes de ir al colegio por primera vez</w:t>
            </w:r>
          </w:p>
        </w:tc>
        <w:tc>
          <w:tcPr>
            <w:tcW w:w="2036" w:type="dxa"/>
          </w:tcPr>
          <w:p w14:paraId="4D820CA9"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Rara vez o nunca</w:t>
            </w:r>
          </w:p>
          <w:p w14:paraId="112C979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 A veces</w:t>
            </w:r>
          </w:p>
          <w:p w14:paraId="76C17BA3"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 Muchas veces</w:t>
            </w:r>
          </w:p>
        </w:tc>
      </w:tr>
      <w:tr w:rsidR="008D4F67" w:rsidRPr="00730378" w14:paraId="109FCC23" w14:textId="77777777" w:rsidTr="00262789">
        <w:tc>
          <w:tcPr>
            <w:tcW w:w="2872" w:type="dxa"/>
          </w:tcPr>
          <w:p w14:paraId="5CF2F0C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Seguridad en las habilidades lectoras</w:t>
            </w:r>
          </w:p>
        </w:tc>
        <w:tc>
          <w:tcPr>
            <w:tcW w:w="2036" w:type="dxa"/>
          </w:tcPr>
          <w:p w14:paraId="6F0BE379"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Nada seguro/a</w:t>
            </w:r>
          </w:p>
          <w:p w14:paraId="3622895A"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 Algo seguro/a</w:t>
            </w:r>
          </w:p>
          <w:p w14:paraId="65FC06DA"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 Muy seguro/a</w:t>
            </w:r>
          </w:p>
        </w:tc>
      </w:tr>
      <w:tr w:rsidR="008D4F67" w:rsidRPr="00730378" w14:paraId="59415550" w14:textId="77777777" w:rsidTr="00262789">
        <w:tc>
          <w:tcPr>
            <w:tcW w:w="4908" w:type="dxa"/>
            <w:gridSpan w:val="2"/>
          </w:tcPr>
          <w:p w14:paraId="5D67269E"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i/>
                <w:iCs/>
                <w:lang w:eastAsia="es-ES" w:bidi="es-ES"/>
              </w:rPr>
              <w:t>Predictores escolares</w:t>
            </w:r>
          </w:p>
        </w:tc>
      </w:tr>
      <w:tr w:rsidR="008D4F67" w:rsidRPr="00730378" w14:paraId="2E4CED63" w14:textId="77777777" w:rsidTr="00262789">
        <w:tc>
          <w:tcPr>
            <w:tcW w:w="2872" w:type="dxa"/>
          </w:tcPr>
          <w:p w14:paraId="3A72B6B4"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Composición escolar según el entorno del alumnado</w:t>
            </w:r>
          </w:p>
        </w:tc>
        <w:tc>
          <w:tcPr>
            <w:tcW w:w="2036" w:type="dxa"/>
          </w:tcPr>
          <w:p w14:paraId="5DD7ECA8"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Contexto desfavorecido</w:t>
            </w:r>
          </w:p>
          <w:p w14:paraId="3F9EDDF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Contexto medio</w:t>
            </w:r>
          </w:p>
          <w:p w14:paraId="4CB747DE"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 Contexto favorecido</w:t>
            </w:r>
          </w:p>
        </w:tc>
      </w:tr>
      <w:tr w:rsidR="008D4F67" w:rsidRPr="00730378" w14:paraId="64FC07A9" w14:textId="77777777" w:rsidTr="00262789">
        <w:tc>
          <w:tcPr>
            <w:tcW w:w="2872" w:type="dxa"/>
          </w:tcPr>
          <w:p w14:paraId="583BAB5B"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Estudiantes del centro con habilidades básicas de alfabetización cuando comienzan la educación primaria</w:t>
            </w:r>
          </w:p>
          <w:p w14:paraId="0429AB56" w14:textId="77777777" w:rsidR="008D4F67" w:rsidRPr="00730378" w:rsidRDefault="008D4F67" w:rsidP="00262789">
            <w:pPr>
              <w:pBdr>
                <w:top w:val="nil"/>
                <w:left w:val="nil"/>
                <w:bottom w:val="nil"/>
                <w:right w:val="nil"/>
                <w:between w:val="nil"/>
                <w:bar w:val="nil"/>
              </w:pBdr>
              <w:spacing w:line="240" w:lineRule="auto"/>
              <w:rPr>
                <w:lang w:eastAsia="es-ES" w:bidi="es-ES"/>
              </w:rPr>
            </w:pPr>
          </w:p>
        </w:tc>
        <w:tc>
          <w:tcPr>
            <w:tcW w:w="2036" w:type="dxa"/>
          </w:tcPr>
          <w:p w14:paraId="4D9EBD96"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Menos del 25%</w:t>
            </w:r>
          </w:p>
          <w:p w14:paraId="5DDBF7E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25-50%</w:t>
            </w:r>
          </w:p>
          <w:p w14:paraId="5AC380DC"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 51-75%</w:t>
            </w:r>
          </w:p>
          <w:p w14:paraId="19336D7D"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3 = Más del 75%</w:t>
            </w:r>
          </w:p>
        </w:tc>
      </w:tr>
      <w:tr w:rsidR="008D4F67" w:rsidRPr="00730378" w14:paraId="16912D71" w14:textId="77777777" w:rsidTr="00262789">
        <w:tc>
          <w:tcPr>
            <w:tcW w:w="2872" w:type="dxa"/>
          </w:tcPr>
          <w:p w14:paraId="33BEC18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 xml:space="preserve">Nivel del énfasis escolar en el éxito académico del alumnado </w:t>
            </w:r>
          </w:p>
        </w:tc>
        <w:tc>
          <w:tcPr>
            <w:tcW w:w="2036" w:type="dxa"/>
          </w:tcPr>
          <w:p w14:paraId="3813176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 = Medio</w:t>
            </w:r>
          </w:p>
          <w:p w14:paraId="4F76CA6D"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 = Alto</w:t>
            </w:r>
          </w:p>
          <w:p w14:paraId="1B408DEB"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 = Muy alto</w:t>
            </w:r>
          </w:p>
        </w:tc>
      </w:tr>
      <w:tr w:rsidR="008D4F67" w:rsidRPr="00730378" w14:paraId="090790CC" w14:textId="77777777" w:rsidTr="00262789">
        <w:tc>
          <w:tcPr>
            <w:tcW w:w="2872" w:type="dxa"/>
          </w:tcPr>
          <w:p w14:paraId="5A88FCF3"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Tiempo de enseñanza por día lectivo (minutos)</w:t>
            </w:r>
          </w:p>
        </w:tc>
        <w:tc>
          <w:tcPr>
            <w:tcW w:w="2036" w:type="dxa"/>
          </w:tcPr>
          <w:p w14:paraId="545CD942"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126 - 470 minutos</w:t>
            </w:r>
          </w:p>
        </w:tc>
      </w:tr>
    </w:tbl>
    <w:p w14:paraId="024A911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Fuente: Elaboración propia. </w:t>
      </w:r>
    </w:p>
    <w:p w14:paraId="01ACF4ED"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Contexto socioeconómico del alumnado. Este índice se calcula a partir de la media de las respuestas del alumnado a tres ítems: </w:t>
      </w:r>
    </w:p>
    <w:p w14:paraId="633CEC35"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1. Número de libros en casa (0 = 0-10, 1 = 11-25, 2 = 26-100, 3 = 101-200, 4 = Más de 200) </w:t>
      </w:r>
    </w:p>
    <w:p w14:paraId="333EA25D"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2. Nivel educativo más alto de uno de los progenitores (0 = Terminó la educación primaria o no fue al colegio, 1 = Terminó el primer ciclo de secundaria,  2 = Terminó la educación secundaria, 3 = Terminó estudios de postsecundaria,  4 = Terminó estudios universitarios). </w:t>
      </w:r>
    </w:p>
    <w:p w14:paraId="04E79850"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3. Nivel profesional más alto de uno de los progenitores (0 = Nunca ha trabajado, obrero, trabajador cualificado de la agricultura, artesano o comerciante, 1 = Oficinista, 2 = Pequeño empresario, 3 = Profesional de empresa o funcionario, profesional técnico).</w:t>
      </w:r>
    </w:p>
    <w:p w14:paraId="43CAF653"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El alumnado de contexto bajo tiene en su casa 25 libros o menos, ninguno de sus padres ha superado la educación secundaria ni tiene una ocupación profesional. El alumnado de contexto alto tiene más de 25 libros en casa, al menos uno de los progenitores tiene estudios universitarios y tiene una ocupación profesional. El alumnado de contexto medio no cumple con los requisitos del contexto alto ni bajo.   </w:t>
      </w:r>
    </w:p>
    <w:p w14:paraId="5C58B002"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lastRenderedPageBreak/>
        <w:t>Composición escolar según el entorno del alumnado. Este índice se calcula a partir del porcentaje de estudiantes que proceden de contextos socioeconómicos diversos (Contexto desfavorecido: Escuelas donde más del 25% de estudiantes proceden de un contexto socioeconómico bajo y no más del 25% de un contexto alto; Contexto favorecido: Escuelas donde más del 25% de estudiantes proceden de un contexto socioeconómico alto y no más del 25% de un contexto bajo; Contexto medio: Escuelas con porcentajes diferentes a las categorías anteriores).</w:t>
      </w:r>
    </w:p>
    <w:p w14:paraId="51651F1B"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El procedimiento de análisis constó de tres etapas:</w:t>
      </w:r>
    </w:p>
    <w:p w14:paraId="2F673B9B"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En la primera, se llevaron a cabo diagnósticos de normalidad multivariada. Además, se realizaron estimaciones independientes para los valores plausibles del estudio PIRLS. También se calcularon los valores de riesgo promedio para medir el rendimiento en lectura (variable dependiente).</w:t>
      </w:r>
    </w:p>
    <w:p w14:paraId="26667942"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En la segunda, se calcularon la media, la desviación típica, el mínimo y el máximo de cada variable a fin de conocer el perfil del alumno medio con relación a los predictores analizados (véase la Tabla 2). </w:t>
      </w:r>
    </w:p>
    <w:p w14:paraId="4446AB8C"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En la tercera, se calcularon el modelo nulo y los modelos definitivos, a partir de una regresión múltiple, empleando un modelo jerárquico lineal (</w:t>
      </w:r>
      <w:proofErr w:type="spellStart"/>
      <w:r w:rsidRPr="00730378">
        <w:rPr>
          <w:lang w:eastAsia="es-ES" w:bidi="es-ES"/>
        </w:rPr>
        <w:t>Tourón</w:t>
      </w:r>
      <w:proofErr w:type="spellEnd"/>
      <w:r w:rsidRPr="00730378">
        <w:rPr>
          <w:lang w:eastAsia="es-ES" w:bidi="es-ES"/>
        </w:rPr>
        <w:t xml:space="preserve"> et al., 2023), pues los datos presentan una estructura anidada: los estudiantes de la muestra se agrupan en centros educativos (véase las Tablas 3, 4 y 5). El modelo toma el rendimiento en lectura como variable dependiente, los predictores del estudiante, como variables del Nivel 1, y los escolares, como variables del Nivel 2. </w:t>
      </w:r>
    </w:p>
    <w:p w14:paraId="662FFA24" w14:textId="77777777" w:rsidR="008D4F67" w:rsidRPr="00730378" w:rsidRDefault="008D4F67" w:rsidP="008D4F67">
      <w:pPr>
        <w:pBdr>
          <w:top w:val="nil"/>
          <w:left w:val="nil"/>
          <w:bottom w:val="nil"/>
          <w:right w:val="nil"/>
          <w:between w:val="nil"/>
          <w:bar w:val="nil"/>
        </w:pBdr>
        <w:spacing w:line="240" w:lineRule="auto"/>
        <w:rPr>
          <w:rFonts w:eastAsia="Arial Unicode MS"/>
          <w:i/>
          <w:iCs/>
          <w:bdr w:val="nil"/>
          <w:lang w:eastAsia="es-ES"/>
        </w:rPr>
      </w:pPr>
      <w:r w:rsidRPr="00730378">
        <w:rPr>
          <w:rFonts w:eastAsia="Arial Unicode MS"/>
          <w:i/>
          <w:iCs/>
          <w:bdr w:val="nil"/>
          <w:lang w:eastAsia="es-ES"/>
        </w:rPr>
        <w:t>Resultados</w:t>
      </w:r>
    </w:p>
    <w:p w14:paraId="599C2093" w14:textId="77777777" w:rsidR="008D4F67" w:rsidRPr="00730378" w:rsidRDefault="008D4F67" w:rsidP="008D4F67">
      <w:pPr>
        <w:pBdr>
          <w:top w:val="nil"/>
          <w:left w:val="nil"/>
          <w:bottom w:val="nil"/>
          <w:right w:val="nil"/>
          <w:between w:val="nil"/>
          <w:bar w:val="nil"/>
        </w:pBdr>
        <w:spacing w:line="240" w:lineRule="auto"/>
        <w:rPr>
          <w:lang w:val="es-ES_tradnl" w:eastAsia="es-ES" w:bidi="es-ES"/>
        </w:rPr>
      </w:pPr>
      <w:r w:rsidRPr="00730378">
        <w:rPr>
          <w:lang w:val="es-ES_tradnl" w:eastAsia="es-ES" w:bidi="es-ES"/>
        </w:rPr>
        <w:t xml:space="preserve">Los análisis se realizaron con el programa </w:t>
      </w:r>
      <w:proofErr w:type="spellStart"/>
      <w:r w:rsidRPr="00730378">
        <w:rPr>
          <w:lang w:val="es-ES_tradnl" w:eastAsia="es-ES" w:bidi="es-ES"/>
        </w:rPr>
        <w:t>MLwiN</w:t>
      </w:r>
      <w:proofErr w:type="spellEnd"/>
      <w:r w:rsidRPr="00730378">
        <w:rPr>
          <w:lang w:val="es-ES_tradnl" w:eastAsia="es-ES" w:bidi="es-ES"/>
        </w:rPr>
        <w:t xml:space="preserve"> 2.36 y se calcularon las estimaciones mediante el procedimiento de Mínimos Cuadrados Iterativos Generalizados </w:t>
      </w:r>
      <w:r w:rsidRPr="00730378">
        <w:rPr>
          <w:i/>
          <w:iCs/>
          <w:lang w:val="es-ES_tradnl" w:eastAsia="es-ES" w:bidi="es-ES"/>
        </w:rPr>
        <w:t>(</w:t>
      </w:r>
      <w:r w:rsidRPr="00730378">
        <w:rPr>
          <w:i/>
          <w:iCs/>
          <w:lang w:eastAsia="es-ES" w:bidi="es-ES"/>
        </w:rPr>
        <w:t xml:space="preserve">Iterative </w:t>
      </w:r>
      <w:proofErr w:type="spellStart"/>
      <w:r w:rsidRPr="00730378">
        <w:rPr>
          <w:i/>
          <w:iCs/>
          <w:lang w:eastAsia="es-ES" w:bidi="es-ES"/>
        </w:rPr>
        <w:t>Generalized</w:t>
      </w:r>
      <w:proofErr w:type="spellEnd"/>
      <w:r w:rsidRPr="00730378">
        <w:rPr>
          <w:i/>
          <w:iCs/>
          <w:lang w:eastAsia="es-ES" w:bidi="es-ES"/>
        </w:rPr>
        <w:t xml:space="preserve"> </w:t>
      </w:r>
      <w:proofErr w:type="spellStart"/>
      <w:r w:rsidRPr="00730378">
        <w:rPr>
          <w:i/>
          <w:iCs/>
          <w:lang w:eastAsia="es-ES" w:bidi="es-ES"/>
        </w:rPr>
        <w:t>Least</w:t>
      </w:r>
      <w:proofErr w:type="spellEnd"/>
      <w:r w:rsidRPr="00730378">
        <w:rPr>
          <w:i/>
          <w:iCs/>
          <w:lang w:eastAsia="es-ES" w:bidi="es-ES"/>
        </w:rPr>
        <w:t xml:space="preserve"> </w:t>
      </w:r>
      <w:proofErr w:type="spellStart"/>
      <w:r w:rsidRPr="00730378">
        <w:rPr>
          <w:i/>
          <w:iCs/>
          <w:lang w:eastAsia="es-ES" w:bidi="es-ES"/>
        </w:rPr>
        <w:t>Squares</w:t>
      </w:r>
      <w:proofErr w:type="spellEnd"/>
      <w:r w:rsidRPr="00730378">
        <w:rPr>
          <w:i/>
          <w:iCs/>
          <w:lang w:eastAsia="es-ES" w:bidi="es-ES"/>
        </w:rPr>
        <w:t xml:space="preserve"> - IGLS)</w:t>
      </w:r>
      <w:r w:rsidRPr="00730378">
        <w:rPr>
          <w:lang w:eastAsia="es-ES" w:bidi="es-ES"/>
        </w:rPr>
        <w:t xml:space="preserve"> (Goldstein, 2003).</w:t>
      </w:r>
    </w:p>
    <w:p w14:paraId="559A9E03" w14:textId="77777777" w:rsidR="008D4F67" w:rsidRPr="00730378" w:rsidRDefault="008D4F67" w:rsidP="008D4F67">
      <w:pPr>
        <w:pBdr>
          <w:top w:val="nil"/>
          <w:left w:val="nil"/>
          <w:bottom w:val="nil"/>
          <w:right w:val="nil"/>
          <w:between w:val="nil"/>
          <w:bar w:val="nil"/>
        </w:pBdr>
        <w:spacing w:line="240" w:lineRule="auto"/>
        <w:rPr>
          <w:i/>
          <w:iCs/>
          <w:lang w:eastAsia="es-ES" w:bidi="es-ES"/>
        </w:rPr>
      </w:pPr>
      <w:r w:rsidRPr="00730378">
        <w:rPr>
          <w:b/>
          <w:bCs/>
          <w:lang w:eastAsia="es-ES" w:bidi="es-ES"/>
        </w:rPr>
        <w:t xml:space="preserve">Tabla 2. </w:t>
      </w:r>
      <w:r w:rsidRPr="00730378">
        <w:rPr>
          <w:i/>
          <w:iCs/>
          <w:lang w:eastAsia="es-ES" w:bidi="es-ES"/>
        </w:rPr>
        <w:t>Medidas de centralización y dispersión</w:t>
      </w:r>
    </w:p>
    <w:p w14:paraId="27ACC789" w14:textId="77777777" w:rsidR="008D4F67" w:rsidRPr="00730378" w:rsidRDefault="008D4F67" w:rsidP="008D4F67">
      <w:pPr>
        <w:pBdr>
          <w:top w:val="nil"/>
          <w:left w:val="nil"/>
          <w:bottom w:val="nil"/>
          <w:right w:val="nil"/>
          <w:between w:val="nil"/>
          <w:bar w:val="nil"/>
        </w:pBdr>
        <w:spacing w:line="240" w:lineRule="auto"/>
        <w:rPr>
          <w:b/>
          <w:bCs/>
          <w:lang w:eastAsia="es-ES" w:bidi="es-ES"/>
        </w:rPr>
      </w:pPr>
    </w:p>
    <w:tbl>
      <w:tblPr>
        <w:tblW w:w="4691" w:type="dxa"/>
        <w:tblBorders>
          <w:bottom w:val="single" w:sz="4" w:space="0" w:color="auto"/>
          <w:insideH w:val="single" w:sz="4" w:space="0" w:color="auto"/>
        </w:tblBorders>
        <w:tblLook w:val="04A0" w:firstRow="1" w:lastRow="0" w:firstColumn="1" w:lastColumn="0" w:noHBand="0" w:noVBand="1"/>
      </w:tblPr>
      <w:tblGrid>
        <w:gridCol w:w="1411"/>
        <w:gridCol w:w="216"/>
        <w:gridCol w:w="567"/>
        <w:gridCol w:w="216"/>
        <w:gridCol w:w="441"/>
        <w:gridCol w:w="230"/>
        <w:gridCol w:w="680"/>
        <w:gridCol w:w="216"/>
        <w:gridCol w:w="714"/>
      </w:tblGrid>
      <w:tr w:rsidR="008D4F67" w:rsidRPr="00730378" w14:paraId="32024BF7" w14:textId="77777777" w:rsidTr="00273B15">
        <w:tc>
          <w:tcPr>
            <w:tcW w:w="1423" w:type="dxa"/>
            <w:tcBorders>
              <w:top w:val="single" w:sz="4" w:space="0" w:color="auto"/>
            </w:tcBorders>
          </w:tcPr>
          <w:p w14:paraId="2A6FA292" w14:textId="77777777" w:rsidR="008D4F67" w:rsidRPr="00273B15" w:rsidRDefault="008D4F67" w:rsidP="00262789">
            <w:pPr>
              <w:pBdr>
                <w:top w:val="nil"/>
                <w:left w:val="nil"/>
                <w:bottom w:val="nil"/>
                <w:right w:val="nil"/>
                <w:between w:val="nil"/>
                <w:bar w:val="nil"/>
              </w:pBdr>
              <w:spacing w:line="240" w:lineRule="auto"/>
              <w:rPr>
                <w:b/>
                <w:bCs/>
                <w:lang w:eastAsia="es-ES" w:bidi="es-ES"/>
              </w:rPr>
            </w:pPr>
            <w:r w:rsidRPr="00273B15">
              <w:rPr>
                <w:b/>
                <w:bCs/>
                <w:lang w:eastAsia="es-ES" w:bidi="es-ES"/>
              </w:rPr>
              <w:t>Variable</w:t>
            </w:r>
          </w:p>
        </w:tc>
        <w:tc>
          <w:tcPr>
            <w:tcW w:w="785" w:type="dxa"/>
            <w:gridSpan w:val="2"/>
            <w:tcBorders>
              <w:top w:val="single" w:sz="4" w:space="0" w:color="auto"/>
            </w:tcBorders>
          </w:tcPr>
          <w:p w14:paraId="17BC7FAD" w14:textId="77777777" w:rsidR="008D4F67" w:rsidRPr="00273B15" w:rsidRDefault="008D4F67" w:rsidP="00262789">
            <w:pPr>
              <w:pBdr>
                <w:top w:val="nil"/>
                <w:left w:val="nil"/>
                <w:bottom w:val="nil"/>
                <w:right w:val="nil"/>
                <w:between w:val="nil"/>
                <w:bar w:val="nil"/>
              </w:pBdr>
              <w:spacing w:line="240" w:lineRule="auto"/>
              <w:rPr>
                <w:b/>
                <w:bCs/>
                <w:lang w:eastAsia="es-ES" w:bidi="es-ES"/>
              </w:rPr>
            </w:pPr>
            <w:r w:rsidRPr="00273B15">
              <w:rPr>
                <w:b/>
                <w:bCs/>
                <w:lang w:eastAsia="es-ES" w:bidi="es-ES"/>
              </w:rPr>
              <w:t>Media</w:t>
            </w:r>
          </w:p>
        </w:tc>
        <w:tc>
          <w:tcPr>
            <w:tcW w:w="657" w:type="dxa"/>
            <w:gridSpan w:val="2"/>
            <w:tcBorders>
              <w:top w:val="single" w:sz="4" w:space="0" w:color="auto"/>
            </w:tcBorders>
          </w:tcPr>
          <w:p w14:paraId="357AD203" w14:textId="77777777" w:rsidR="008D4F67" w:rsidRPr="00273B15" w:rsidRDefault="008D4F67" w:rsidP="00262789">
            <w:pPr>
              <w:pBdr>
                <w:top w:val="nil"/>
                <w:left w:val="nil"/>
                <w:bottom w:val="nil"/>
                <w:right w:val="nil"/>
                <w:between w:val="nil"/>
                <w:bar w:val="nil"/>
              </w:pBdr>
              <w:spacing w:line="240" w:lineRule="auto"/>
              <w:rPr>
                <w:b/>
                <w:bCs/>
                <w:lang w:eastAsia="es-ES" w:bidi="es-ES"/>
              </w:rPr>
            </w:pPr>
            <w:r w:rsidRPr="00273B15">
              <w:rPr>
                <w:b/>
                <w:bCs/>
                <w:lang w:eastAsia="es-ES" w:bidi="es-ES"/>
              </w:rPr>
              <w:t>D.T.</w:t>
            </w:r>
          </w:p>
        </w:tc>
        <w:tc>
          <w:tcPr>
            <w:tcW w:w="896" w:type="dxa"/>
            <w:gridSpan w:val="2"/>
            <w:tcBorders>
              <w:top w:val="single" w:sz="4" w:space="0" w:color="auto"/>
            </w:tcBorders>
          </w:tcPr>
          <w:p w14:paraId="43D77F7A" w14:textId="77777777" w:rsidR="008D4F67" w:rsidRPr="00273B15" w:rsidRDefault="008D4F67" w:rsidP="00262789">
            <w:pPr>
              <w:pBdr>
                <w:top w:val="nil"/>
                <w:left w:val="nil"/>
                <w:bottom w:val="nil"/>
                <w:right w:val="nil"/>
                <w:between w:val="nil"/>
                <w:bar w:val="nil"/>
              </w:pBdr>
              <w:spacing w:line="240" w:lineRule="auto"/>
              <w:rPr>
                <w:b/>
                <w:bCs/>
                <w:lang w:eastAsia="es-ES" w:bidi="es-ES"/>
              </w:rPr>
            </w:pPr>
            <w:r w:rsidRPr="00273B15">
              <w:rPr>
                <w:b/>
                <w:bCs/>
                <w:lang w:eastAsia="es-ES" w:bidi="es-ES"/>
              </w:rPr>
              <w:t>Mínimo</w:t>
            </w:r>
          </w:p>
        </w:tc>
        <w:tc>
          <w:tcPr>
            <w:tcW w:w="925" w:type="dxa"/>
            <w:gridSpan w:val="2"/>
            <w:tcBorders>
              <w:top w:val="single" w:sz="4" w:space="0" w:color="auto"/>
            </w:tcBorders>
          </w:tcPr>
          <w:p w14:paraId="3D42429D" w14:textId="77777777" w:rsidR="008D4F67" w:rsidRPr="00273B15" w:rsidRDefault="008D4F67" w:rsidP="00262789">
            <w:pPr>
              <w:pBdr>
                <w:top w:val="nil"/>
                <w:left w:val="nil"/>
                <w:bottom w:val="nil"/>
                <w:right w:val="nil"/>
                <w:between w:val="nil"/>
                <w:bar w:val="nil"/>
              </w:pBdr>
              <w:spacing w:line="240" w:lineRule="auto"/>
              <w:rPr>
                <w:b/>
                <w:bCs/>
                <w:lang w:eastAsia="es-ES" w:bidi="es-ES"/>
              </w:rPr>
            </w:pPr>
            <w:r w:rsidRPr="00273B15">
              <w:rPr>
                <w:b/>
                <w:bCs/>
                <w:lang w:eastAsia="es-ES" w:bidi="es-ES"/>
              </w:rPr>
              <w:t>Máximo</w:t>
            </w:r>
          </w:p>
        </w:tc>
      </w:tr>
      <w:tr w:rsidR="008D4F67" w:rsidRPr="00730378" w14:paraId="01228963" w14:textId="77777777" w:rsidTr="00273B15">
        <w:tc>
          <w:tcPr>
            <w:tcW w:w="1639" w:type="dxa"/>
            <w:gridSpan w:val="2"/>
          </w:tcPr>
          <w:p w14:paraId="1D290EC9"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Contexto socioeconómico del alumnado</w:t>
            </w:r>
          </w:p>
        </w:tc>
        <w:tc>
          <w:tcPr>
            <w:tcW w:w="785" w:type="dxa"/>
            <w:gridSpan w:val="2"/>
          </w:tcPr>
          <w:p w14:paraId="4B28F682"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0,81</w:t>
            </w:r>
          </w:p>
        </w:tc>
        <w:tc>
          <w:tcPr>
            <w:tcW w:w="657" w:type="dxa"/>
            <w:gridSpan w:val="2"/>
          </w:tcPr>
          <w:p w14:paraId="7D85A99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0,706</w:t>
            </w:r>
          </w:p>
        </w:tc>
        <w:tc>
          <w:tcPr>
            <w:tcW w:w="896" w:type="dxa"/>
            <w:gridSpan w:val="2"/>
          </w:tcPr>
          <w:p w14:paraId="0BC93525"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41089400"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w:t>
            </w:r>
          </w:p>
        </w:tc>
      </w:tr>
      <w:tr w:rsidR="008D4F67" w:rsidRPr="00730378" w14:paraId="36474F3D" w14:textId="77777777" w:rsidTr="00273B15">
        <w:tc>
          <w:tcPr>
            <w:tcW w:w="1639" w:type="dxa"/>
            <w:gridSpan w:val="2"/>
          </w:tcPr>
          <w:p w14:paraId="24FD5616"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Años escolarizados en educación infantil</w:t>
            </w:r>
          </w:p>
        </w:tc>
        <w:tc>
          <w:tcPr>
            <w:tcW w:w="785" w:type="dxa"/>
            <w:gridSpan w:val="2"/>
          </w:tcPr>
          <w:p w14:paraId="25DC4989"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2,47</w:t>
            </w:r>
          </w:p>
        </w:tc>
        <w:tc>
          <w:tcPr>
            <w:tcW w:w="657" w:type="dxa"/>
            <w:gridSpan w:val="2"/>
          </w:tcPr>
          <w:p w14:paraId="0EFDCCF3"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0,931</w:t>
            </w:r>
          </w:p>
        </w:tc>
        <w:tc>
          <w:tcPr>
            <w:tcW w:w="896" w:type="dxa"/>
            <w:gridSpan w:val="2"/>
          </w:tcPr>
          <w:p w14:paraId="39AC3CA3"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1F9F1DC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3</w:t>
            </w:r>
          </w:p>
        </w:tc>
      </w:tr>
      <w:tr w:rsidR="008D4F67" w:rsidRPr="00730378" w14:paraId="5EB1DE18" w14:textId="77777777" w:rsidTr="00273B15">
        <w:tc>
          <w:tcPr>
            <w:tcW w:w="1639" w:type="dxa"/>
            <w:gridSpan w:val="2"/>
          </w:tcPr>
          <w:p w14:paraId="68B7A41C"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 xml:space="preserve">Alfabetización temprana en casa antes de empezar </w:t>
            </w:r>
            <w:r w:rsidRPr="00730378">
              <w:rPr>
                <w:lang w:eastAsia="es-ES" w:bidi="es-ES"/>
              </w:rPr>
              <w:t>educación primaria</w:t>
            </w:r>
          </w:p>
        </w:tc>
        <w:tc>
          <w:tcPr>
            <w:tcW w:w="785" w:type="dxa"/>
            <w:gridSpan w:val="2"/>
          </w:tcPr>
          <w:p w14:paraId="681FB4EA"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1,48</w:t>
            </w:r>
          </w:p>
        </w:tc>
        <w:tc>
          <w:tcPr>
            <w:tcW w:w="657" w:type="dxa"/>
            <w:gridSpan w:val="2"/>
          </w:tcPr>
          <w:p w14:paraId="236C60AF"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0,514</w:t>
            </w:r>
          </w:p>
        </w:tc>
        <w:tc>
          <w:tcPr>
            <w:tcW w:w="896" w:type="dxa"/>
            <w:gridSpan w:val="2"/>
          </w:tcPr>
          <w:p w14:paraId="0FC5CDBA"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32721C3B"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w:t>
            </w:r>
          </w:p>
        </w:tc>
      </w:tr>
      <w:tr w:rsidR="008D4F67" w:rsidRPr="00730378" w14:paraId="76428585" w14:textId="77777777" w:rsidTr="00273B15">
        <w:tc>
          <w:tcPr>
            <w:tcW w:w="1639" w:type="dxa"/>
            <w:gridSpan w:val="2"/>
          </w:tcPr>
          <w:p w14:paraId="68A236AD"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Estudiantes con seguridad en la lectura</w:t>
            </w:r>
          </w:p>
        </w:tc>
        <w:tc>
          <w:tcPr>
            <w:tcW w:w="785" w:type="dxa"/>
            <w:gridSpan w:val="2"/>
          </w:tcPr>
          <w:p w14:paraId="321883A2"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1,41</w:t>
            </w:r>
          </w:p>
        </w:tc>
        <w:tc>
          <w:tcPr>
            <w:tcW w:w="657" w:type="dxa"/>
            <w:gridSpan w:val="2"/>
          </w:tcPr>
          <w:p w14:paraId="717EB032"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0,75</w:t>
            </w:r>
          </w:p>
        </w:tc>
        <w:tc>
          <w:tcPr>
            <w:tcW w:w="896" w:type="dxa"/>
            <w:gridSpan w:val="2"/>
          </w:tcPr>
          <w:p w14:paraId="243A5FE8"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6E7E16ED"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w:t>
            </w:r>
          </w:p>
        </w:tc>
      </w:tr>
      <w:tr w:rsidR="008D4F67" w:rsidRPr="00730378" w14:paraId="176745CB" w14:textId="77777777" w:rsidTr="00273B15">
        <w:tc>
          <w:tcPr>
            <w:tcW w:w="1639" w:type="dxa"/>
            <w:gridSpan w:val="2"/>
          </w:tcPr>
          <w:p w14:paraId="7109303B"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Composición escolar según el entorno del alumnado</w:t>
            </w:r>
          </w:p>
        </w:tc>
        <w:tc>
          <w:tcPr>
            <w:tcW w:w="785" w:type="dxa"/>
            <w:gridSpan w:val="2"/>
          </w:tcPr>
          <w:p w14:paraId="088C3D73"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1,26</w:t>
            </w:r>
          </w:p>
        </w:tc>
        <w:tc>
          <w:tcPr>
            <w:tcW w:w="657" w:type="dxa"/>
            <w:gridSpan w:val="2"/>
          </w:tcPr>
          <w:p w14:paraId="071E1B8E"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0,748</w:t>
            </w:r>
          </w:p>
        </w:tc>
        <w:tc>
          <w:tcPr>
            <w:tcW w:w="896" w:type="dxa"/>
            <w:gridSpan w:val="2"/>
          </w:tcPr>
          <w:p w14:paraId="2913C199"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75F6C818"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w:t>
            </w:r>
          </w:p>
        </w:tc>
      </w:tr>
      <w:tr w:rsidR="008D4F67" w:rsidRPr="00730378" w14:paraId="5967F3A1" w14:textId="77777777" w:rsidTr="00273B15">
        <w:tc>
          <w:tcPr>
            <w:tcW w:w="1639" w:type="dxa"/>
            <w:gridSpan w:val="2"/>
          </w:tcPr>
          <w:p w14:paraId="6FED46FF"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Estudiantes con habilidades básicas de alfabetización cuando empiezan la educación primaria</w:t>
            </w:r>
          </w:p>
        </w:tc>
        <w:tc>
          <w:tcPr>
            <w:tcW w:w="785" w:type="dxa"/>
            <w:gridSpan w:val="2"/>
          </w:tcPr>
          <w:p w14:paraId="7CC9A50F"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2,13</w:t>
            </w:r>
          </w:p>
        </w:tc>
        <w:tc>
          <w:tcPr>
            <w:tcW w:w="657" w:type="dxa"/>
            <w:gridSpan w:val="2"/>
          </w:tcPr>
          <w:p w14:paraId="5ECE3D8A"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0,981</w:t>
            </w:r>
          </w:p>
        </w:tc>
        <w:tc>
          <w:tcPr>
            <w:tcW w:w="896" w:type="dxa"/>
            <w:gridSpan w:val="2"/>
          </w:tcPr>
          <w:p w14:paraId="291BB22C"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268F1010"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3</w:t>
            </w:r>
          </w:p>
        </w:tc>
      </w:tr>
      <w:tr w:rsidR="008D4F67" w:rsidRPr="00730378" w14:paraId="592685C9" w14:textId="77777777" w:rsidTr="00273B15">
        <w:tc>
          <w:tcPr>
            <w:tcW w:w="1639" w:type="dxa"/>
            <w:gridSpan w:val="2"/>
          </w:tcPr>
          <w:p w14:paraId="03FA3BB6"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Énfasis escolar en el éxito académico</w:t>
            </w:r>
          </w:p>
        </w:tc>
        <w:tc>
          <w:tcPr>
            <w:tcW w:w="785" w:type="dxa"/>
            <w:gridSpan w:val="2"/>
          </w:tcPr>
          <w:p w14:paraId="31D16EE3"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1,20</w:t>
            </w:r>
          </w:p>
        </w:tc>
        <w:tc>
          <w:tcPr>
            <w:tcW w:w="657" w:type="dxa"/>
            <w:gridSpan w:val="2"/>
          </w:tcPr>
          <w:p w14:paraId="4A97D60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0,603</w:t>
            </w:r>
          </w:p>
        </w:tc>
        <w:tc>
          <w:tcPr>
            <w:tcW w:w="896" w:type="dxa"/>
            <w:gridSpan w:val="2"/>
          </w:tcPr>
          <w:p w14:paraId="3DFAA309"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0</w:t>
            </w:r>
          </w:p>
        </w:tc>
        <w:tc>
          <w:tcPr>
            <w:tcW w:w="714" w:type="dxa"/>
          </w:tcPr>
          <w:p w14:paraId="534D579A"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2</w:t>
            </w:r>
          </w:p>
        </w:tc>
      </w:tr>
      <w:tr w:rsidR="008D4F67" w:rsidRPr="00730378" w14:paraId="30E8ADB3" w14:textId="77777777" w:rsidTr="00273B15">
        <w:tc>
          <w:tcPr>
            <w:tcW w:w="1639" w:type="dxa"/>
            <w:gridSpan w:val="2"/>
          </w:tcPr>
          <w:p w14:paraId="35E75DDE" w14:textId="77777777" w:rsidR="008D4F67" w:rsidRPr="00730378" w:rsidRDefault="008D4F67" w:rsidP="00262789">
            <w:pPr>
              <w:pBdr>
                <w:top w:val="nil"/>
                <w:left w:val="nil"/>
                <w:bottom w:val="nil"/>
                <w:right w:val="nil"/>
                <w:between w:val="nil"/>
                <w:bar w:val="nil"/>
              </w:pBdr>
              <w:spacing w:line="240" w:lineRule="auto"/>
              <w:jc w:val="left"/>
              <w:rPr>
                <w:lang w:eastAsia="es-ES" w:bidi="es-ES"/>
              </w:rPr>
            </w:pPr>
            <w:r w:rsidRPr="00730378">
              <w:rPr>
                <w:lang w:eastAsia="es-ES" w:bidi="es-ES"/>
              </w:rPr>
              <w:t xml:space="preserve">Tiempo de enseñanza </w:t>
            </w:r>
          </w:p>
        </w:tc>
        <w:tc>
          <w:tcPr>
            <w:tcW w:w="785" w:type="dxa"/>
            <w:gridSpan w:val="2"/>
          </w:tcPr>
          <w:p w14:paraId="0808CC11"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284,23</w:t>
            </w:r>
          </w:p>
        </w:tc>
        <w:tc>
          <w:tcPr>
            <w:tcW w:w="657" w:type="dxa"/>
            <w:gridSpan w:val="2"/>
          </w:tcPr>
          <w:p w14:paraId="5489676A"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39,88</w:t>
            </w:r>
          </w:p>
        </w:tc>
        <w:tc>
          <w:tcPr>
            <w:tcW w:w="896" w:type="dxa"/>
            <w:gridSpan w:val="2"/>
          </w:tcPr>
          <w:p w14:paraId="36513309"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126</w:t>
            </w:r>
          </w:p>
        </w:tc>
        <w:tc>
          <w:tcPr>
            <w:tcW w:w="714" w:type="dxa"/>
          </w:tcPr>
          <w:p w14:paraId="641FBED4" w14:textId="77777777" w:rsidR="008D4F67" w:rsidRPr="00730378" w:rsidRDefault="008D4F67" w:rsidP="00262789">
            <w:pPr>
              <w:pBdr>
                <w:top w:val="nil"/>
                <w:left w:val="nil"/>
                <w:bottom w:val="nil"/>
                <w:right w:val="nil"/>
                <w:between w:val="nil"/>
                <w:bar w:val="nil"/>
              </w:pBdr>
              <w:spacing w:line="240" w:lineRule="auto"/>
              <w:jc w:val="center"/>
              <w:rPr>
                <w:lang w:eastAsia="es-ES" w:bidi="es-ES"/>
              </w:rPr>
            </w:pPr>
            <w:r w:rsidRPr="00730378">
              <w:rPr>
                <w:lang w:eastAsia="es-ES" w:bidi="es-ES"/>
              </w:rPr>
              <w:t>470</w:t>
            </w:r>
          </w:p>
        </w:tc>
      </w:tr>
    </w:tbl>
    <w:p w14:paraId="695C67F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Fuente: Elaboración propia. </w:t>
      </w:r>
    </w:p>
    <w:p w14:paraId="190D7AED"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Los resultados de la Tabla 2 muestran que, teniendo en cuenta los predictores del estudiante, el perfil del alumno medio de 4º curso de Educación Primaria procede de un contexto socioeconómico medio, ha estado escolarizado entre dos y tres años en la etapa de Educación Infantil, ha leído libros a veces con algún familiar en su casa antes de empezar la educación primaria y se siente algo seguro cuando lee.      Asimismo, tomando en consideración los predictores escolares, tal alumno acude a un centro educativo en el que la mayoría de los estudiantes proceden de un contexto socioeconómico medio, más de la mitad cuentan con habilidades básicas de alfabetización cuando comienza la educación primaria, se hace un alto énfasis en el éxito académico del alumnado y el tiempo dedicado a la enseñanza por día lectivo es de 284 minutos (más de 4 horas y media).</w:t>
      </w:r>
    </w:p>
    <w:p w14:paraId="353183CE"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El proceso de modelización empieza con la formulación del modelo nulo, que no incluye variables predictoras y no tiene capacidad explicativa alguna, pero resulta fundamental por dos razones: establece la base para compararlo con el modelo definitivo e informa de la varianza inicial en los dos niveles (</w:t>
      </w:r>
      <w:proofErr w:type="spellStart"/>
      <w:r w:rsidRPr="00730378">
        <w:rPr>
          <w:lang w:eastAsia="es-ES" w:bidi="es-ES"/>
        </w:rPr>
        <w:t>Tourón</w:t>
      </w:r>
      <w:proofErr w:type="spellEnd"/>
      <w:r w:rsidRPr="00730378">
        <w:rPr>
          <w:lang w:eastAsia="es-ES" w:bidi="es-ES"/>
        </w:rPr>
        <w:t xml:space="preserve"> et al., 2023). </w:t>
      </w:r>
    </w:p>
    <w:p w14:paraId="479A480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La Tabla 3 presenta los resultados del modelo nulo. El parámetro fijo informa sobre el valor del intercepto o rendimiento lector medio observado para los sujetos que forman la muestra (483,057 puntos).</w:t>
      </w:r>
    </w:p>
    <w:p w14:paraId="04CA3EB7" w14:textId="77777777" w:rsidR="008D4F67" w:rsidRPr="00730378" w:rsidRDefault="008D4F67" w:rsidP="008D4F67">
      <w:pPr>
        <w:pBdr>
          <w:top w:val="nil"/>
          <w:left w:val="nil"/>
          <w:bottom w:val="nil"/>
          <w:right w:val="nil"/>
          <w:between w:val="nil"/>
          <w:bar w:val="nil"/>
        </w:pBdr>
        <w:spacing w:line="240" w:lineRule="auto"/>
        <w:rPr>
          <w:b/>
          <w:bCs/>
          <w:lang w:eastAsia="es-ES" w:bidi="es-ES"/>
        </w:rPr>
      </w:pPr>
      <w:r w:rsidRPr="00730378">
        <w:rPr>
          <w:b/>
          <w:bCs/>
          <w:lang w:eastAsia="es-ES" w:bidi="es-ES"/>
        </w:rPr>
        <w:t xml:space="preserve">Tabla 3. </w:t>
      </w:r>
      <w:r w:rsidRPr="00730378">
        <w:rPr>
          <w:i/>
          <w:iCs/>
          <w:lang w:eastAsia="es-ES" w:bidi="es-ES"/>
        </w:rPr>
        <w:t>Estimación del modelo nulo</w:t>
      </w:r>
    </w:p>
    <w:p w14:paraId="5DD4A3DB" w14:textId="77777777" w:rsidR="008D4F67" w:rsidRPr="00730378" w:rsidRDefault="008D4F67" w:rsidP="008D4F67">
      <w:pPr>
        <w:pBdr>
          <w:top w:val="nil"/>
          <w:left w:val="nil"/>
          <w:bottom w:val="nil"/>
          <w:right w:val="nil"/>
          <w:between w:val="nil"/>
          <w:bar w:val="nil"/>
        </w:pBdr>
        <w:spacing w:line="240" w:lineRule="auto"/>
        <w:rPr>
          <w:b/>
          <w:bCs/>
          <w:lang w:eastAsia="es-ES" w:bidi="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07"/>
      </w:tblGrid>
      <w:tr w:rsidR="008D4F67" w:rsidRPr="00730378" w14:paraId="0B68264D" w14:textId="77777777" w:rsidTr="00262789">
        <w:tc>
          <w:tcPr>
            <w:tcW w:w="4908" w:type="dxa"/>
            <w:gridSpan w:val="2"/>
            <w:tcBorders>
              <w:top w:val="single" w:sz="4" w:space="0" w:color="auto"/>
              <w:left w:val="nil"/>
              <w:bottom w:val="single" w:sz="4" w:space="0" w:color="auto"/>
              <w:right w:val="nil"/>
            </w:tcBorders>
          </w:tcPr>
          <w:p w14:paraId="419EFD4C" w14:textId="77777777" w:rsidR="008D4F67" w:rsidRPr="00730378" w:rsidRDefault="008D4F67" w:rsidP="00262789">
            <w:pPr>
              <w:pBdr>
                <w:top w:val="nil"/>
                <w:left w:val="nil"/>
                <w:bottom w:val="nil"/>
                <w:right w:val="nil"/>
                <w:between w:val="nil"/>
                <w:bar w:val="nil"/>
              </w:pBdr>
              <w:spacing w:line="240" w:lineRule="auto"/>
              <w:rPr>
                <w:b/>
                <w:bCs/>
                <w:lang w:eastAsia="es-ES" w:bidi="es-ES"/>
              </w:rPr>
            </w:pPr>
            <w:r w:rsidRPr="00730378">
              <w:rPr>
                <w:b/>
                <w:bCs/>
                <w:lang w:eastAsia="es-ES" w:bidi="es-ES"/>
              </w:rPr>
              <w:lastRenderedPageBreak/>
              <w:t>Parte fija</w:t>
            </w:r>
          </w:p>
        </w:tc>
      </w:tr>
      <w:tr w:rsidR="008D4F67" w:rsidRPr="00730378" w14:paraId="7B703370" w14:textId="77777777" w:rsidTr="00262789">
        <w:tc>
          <w:tcPr>
            <w:tcW w:w="2474" w:type="dxa"/>
            <w:tcBorders>
              <w:top w:val="single" w:sz="4" w:space="0" w:color="auto"/>
              <w:left w:val="nil"/>
              <w:bottom w:val="single" w:sz="4" w:space="0" w:color="auto"/>
              <w:right w:val="nil"/>
            </w:tcBorders>
          </w:tcPr>
          <w:p w14:paraId="35921BB5"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Parámetro</w:t>
            </w:r>
          </w:p>
        </w:tc>
        <w:tc>
          <w:tcPr>
            <w:tcW w:w="2434" w:type="dxa"/>
            <w:tcBorders>
              <w:top w:val="single" w:sz="4" w:space="0" w:color="auto"/>
              <w:left w:val="nil"/>
              <w:bottom w:val="single" w:sz="4" w:space="0" w:color="auto"/>
              <w:right w:val="nil"/>
            </w:tcBorders>
          </w:tcPr>
          <w:p w14:paraId="413DD063" w14:textId="77777777" w:rsidR="008D4F67" w:rsidRPr="00730378" w:rsidRDefault="008D4F67" w:rsidP="00262789">
            <w:pPr>
              <w:pBdr>
                <w:top w:val="nil"/>
                <w:left w:val="nil"/>
                <w:bottom w:val="nil"/>
                <w:right w:val="nil"/>
                <w:between w:val="nil"/>
                <w:bar w:val="nil"/>
              </w:pBdr>
              <w:spacing w:line="240" w:lineRule="auto"/>
              <w:rPr>
                <w:b/>
                <w:bCs/>
                <w:lang w:eastAsia="es-ES" w:bidi="es-ES"/>
              </w:rPr>
            </w:pPr>
            <w:r w:rsidRPr="00730378">
              <w:rPr>
                <w:b/>
                <w:bCs/>
                <w:lang w:eastAsia="es-ES" w:bidi="es-ES"/>
              </w:rPr>
              <w:t>Estimación (Error estándar)</w:t>
            </w:r>
          </w:p>
        </w:tc>
      </w:tr>
      <w:tr w:rsidR="008D4F67" w:rsidRPr="00730378" w14:paraId="0FD4990B" w14:textId="77777777" w:rsidTr="00262789">
        <w:tc>
          <w:tcPr>
            <w:tcW w:w="2474" w:type="dxa"/>
            <w:tcBorders>
              <w:top w:val="single" w:sz="4" w:space="0" w:color="auto"/>
              <w:left w:val="nil"/>
              <w:bottom w:val="single" w:sz="4" w:space="0" w:color="auto"/>
              <w:right w:val="nil"/>
            </w:tcBorders>
          </w:tcPr>
          <w:p w14:paraId="1A7248D9"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Constante</w:t>
            </w:r>
          </w:p>
        </w:tc>
        <w:tc>
          <w:tcPr>
            <w:tcW w:w="2434" w:type="dxa"/>
            <w:tcBorders>
              <w:top w:val="single" w:sz="4" w:space="0" w:color="auto"/>
              <w:left w:val="nil"/>
              <w:bottom w:val="single" w:sz="4" w:space="0" w:color="auto"/>
              <w:right w:val="nil"/>
            </w:tcBorders>
          </w:tcPr>
          <w:p w14:paraId="2D617BBC"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483,057 (5,027)</w:t>
            </w:r>
          </w:p>
        </w:tc>
      </w:tr>
      <w:tr w:rsidR="008D4F67" w:rsidRPr="00730378" w14:paraId="18897F5C" w14:textId="77777777" w:rsidTr="00262789">
        <w:tc>
          <w:tcPr>
            <w:tcW w:w="4908" w:type="dxa"/>
            <w:gridSpan w:val="2"/>
            <w:tcBorders>
              <w:top w:val="single" w:sz="4" w:space="0" w:color="auto"/>
              <w:left w:val="nil"/>
              <w:bottom w:val="single" w:sz="4" w:space="0" w:color="auto"/>
              <w:right w:val="nil"/>
            </w:tcBorders>
          </w:tcPr>
          <w:p w14:paraId="69FFE1E2" w14:textId="77777777" w:rsidR="008D4F67" w:rsidRPr="00730378" w:rsidRDefault="008D4F67" w:rsidP="00262789">
            <w:pPr>
              <w:pBdr>
                <w:top w:val="nil"/>
                <w:left w:val="nil"/>
                <w:bottom w:val="nil"/>
                <w:right w:val="nil"/>
                <w:between w:val="nil"/>
                <w:bar w:val="nil"/>
              </w:pBdr>
              <w:spacing w:line="240" w:lineRule="auto"/>
              <w:jc w:val="center"/>
              <w:rPr>
                <w:b/>
                <w:bCs/>
                <w:lang w:eastAsia="es-ES" w:bidi="es-ES"/>
              </w:rPr>
            </w:pPr>
            <w:r w:rsidRPr="00730378">
              <w:rPr>
                <w:b/>
                <w:bCs/>
                <w:lang w:eastAsia="es-ES" w:bidi="es-ES"/>
              </w:rPr>
              <w:t>Parte aleatoria (Varianza en el rendimiento en pensamiento computacional )</w:t>
            </w:r>
          </w:p>
        </w:tc>
      </w:tr>
      <w:tr w:rsidR="008D4F67" w:rsidRPr="00730378" w14:paraId="2D4B587E" w14:textId="77777777" w:rsidTr="00262789">
        <w:tc>
          <w:tcPr>
            <w:tcW w:w="2474" w:type="dxa"/>
            <w:tcBorders>
              <w:top w:val="single" w:sz="4" w:space="0" w:color="auto"/>
              <w:left w:val="nil"/>
              <w:bottom w:val="single" w:sz="4" w:space="0" w:color="auto"/>
              <w:right w:val="nil"/>
            </w:tcBorders>
          </w:tcPr>
          <w:p w14:paraId="6DE7A13E"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Nivel 1. Alumnado</w:t>
            </w:r>
          </w:p>
        </w:tc>
        <w:tc>
          <w:tcPr>
            <w:tcW w:w="2434" w:type="dxa"/>
            <w:tcBorders>
              <w:top w:val="single" w:sz="4" w:space="0" w:color="auto"/>
              <w:left w:val="nil"/>
              <w:bottom w:val="single" w:sz="4" w:space="0" w:color="auto"/>
              <w:right w:val="nil"/>
            </w:tcBorders>
          </w:tcPr>
          <w:p w14:paraId="6A21C9E5"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6.151,584 (59,357)</w:t>
            </w:r>
          </w:p>
        </w:tc>
      </w:tr>
      <w:tr w:rsidR="008D4F67" w:rsidRPr="00730378" w14:paraId="61BC9940" w14:textId="77777777" w:rsidTr="00262789">
        <w:tc>
          <w:tcPr>
            <w:tcW w:w="2474" w:type="dxa"/>
            <w:tcBorders>
              <w:top w:val="single" w:sz="4" w:space="0" w:color="auto"/>
              <w:left w:val="nil"/>
              <w:bottom w:val="single" w:sz="4" w:space="0" w:color="auto"/>
              <w:right w:val="nil"/>
            </w:tcBorders>
          </w:tcPr>
          <w:p w14:paraId="3E8EAEBE"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Nivel 2. Centro</w:t>
            </w:r>
          </w:p>
        </w:tc>
        <w:tc>
          <w:tcPr>
            <w:tcW w:w="2434" w:type="dxa"/>
            <w:tcBorders>
              <w:top w:val="single" w:sz="4" w:space="0" w:color="auto"/>
              <w:left w:val="nil"/>
              <w:bottom w:val="single" w:sz="4" w:space="0" w:color="auto"/>
              <w:right w:val="nil"/>
            </w:tcBorders>
          </w:tcPr>
          <w:p w14:paraId="02D2881E"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1.223,053 (73,471)</w:t>
            </w:r>
          </w:p>
        </w:tc>
      </w:tr>
      <w:tr w:rsidR="008D4F67" w:rsidRPr="00730378" w14:paraId="269104BC" w14:textId="77777777" w:rsidTr="00262789">
        <w:tc>
          <w:tcPr>
            <w:tcW w:w="2474" w:type="dxa"/>
            <w:tcBorders>
              <w:top w:val="single" w:sz="4" w:space="0" w:color="auto"/>
              <w:left w:val="nil"/>
              <w:bottom w:val="single" w:sz="4" w:space="0" w:color="auto"/>
              <w:right w:val="nil"/>
            </w:tcBorders>
          </w:tcPr>
          <w:p w14:paraId="1B50087E"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Razón de verosimilitud</w:t>
            </w:r>
          </w:p>
        </w:tc>
        <w:tc>
          <w:tcPr>
            <w:tcW w:w="2434" w:type="dxa"/>
            <w:tcBorders>
              <w:top w:val="single" w:sz="4" w:space="0" w:color="auto"/>
              <w:left w:val="nil"/>
              <w:bottom w:val="single" w:sz="4" w:space="0" w:color="auto"/>
              <w:right w:val="nil"/>
            </w:tcBorders>
          </w:tcPr>
          <w:p w14:paraId="686284E4"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356.981,811</w:t>
            </w:r>
          </w:p>
        </w:tc>
      </w:tr>
      <w:tr w:rsidR="008D4F67" w:rsidRPr="00730378" w14:paraId="65371F95" w14:textId="77777777" w:rsidTr="00262789">
        <w:tc>
          <w:tcPr>
            <w:tcW w:w="2474" w:type="dxa"/>
            <w:tcBorders>
              <w:top w:val="single" w:sz="4" w:space="0" w:color="auto"/>
              <w:left w:val="nil"/>
              <w:bottom w:val="single" w:sz="4" w:space="0" w:color="auto"/>
              <w:right w:val="nil"/>
            </w:tcBorders>
          </w:tcPr>
          <w:p w14:paraId="246F54F9"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Número de parámetros</w:t>
            </w:r>
          </w:p>
        </w:tc>
        <w:tc>
          <w:tcPr>
            <w:tcW w:w="2434" w:type="dxa"/>
            <w:tcBorders>
              <w:top w:val="single" w:sz="4" w:space="0" w:color="auto"/>
              <w:left w:val="nil"/>
              <w:bottom w:val="single" w:sz="4" w:space="0" w:color="auto"/>
              <w:right w:val="nil"/>
            </w:tcBorders>
          </w:tcPr>
          <w:p w14:paraId="5E1BA288"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3</w:t>
            </w:r>
          </w:p>
        </w:tc>
      </w:tr>
    </w:tbl>
    <w:p w14:paraId="0EC391B7"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Fuente: Elaboración propia. </w:t>
      </w:r>
    </w:p>
    <w:p w14:paraId="7FB9D33F"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La parte aleatoria del modelo nulo señala las varianzas de los residuos en los dos niveles establecidos. Un parámetro es significativo (Alpha = 0,05) si el cociente entre la estimación del parámetro y su error típico es superior a 1,96 (Gaviria y Castro, 2004). En este sentido, los parámetros resultan estadísticamente significativos en los dos niveles, de modo que hay diferencia entre alumnos (6151,584/59,357</w:t>
      </w:r>
      <w:r w:rsidRPr="00730378">
        <w:rPr>
          <w:lang w:eastAsia="es-ES" w:bidi="es-ES"/>
        </w:rPr>
        <w:sym w:font="Symbol" w:char="F03E"/>
      </w:r>
      <w:r w:rsidRPr="00730378">
        <w:rPr>
          <w:lang w:eastAsia="es-ES" w:bidi="es-ES"/>
        </w:rPr>
        <w:t>1,96) y entre centros educativos (1223,053/74,471</w:t>
      </w:r>
      <w:r w:rsidRPr="00730378">
        <w:rPr>
          <w:lang w:eastAsia="es-ES" w:bidi="es-ES"/>
        </w:rPr>
        <w:sym w:font="Symbol" w:char="F03E"/>
      </w:r>
      <w:r w:rsidRPr="00730378">
        <w:rPr>
          <w:lang w:eastAsia="es-ES" w:bidi="es-ES"/>
        </w:rPr>
        <w:t xml:space="preserve">1,96). Estos parámetros significativos señalan la existencia de varianza no explicada en los dos niveles, que justifica seguir con la expansión del modelo para explicar la mayor cantidad de varianza posible (Rodríguez-Mantilla et al., 2018). </w:t>
      </w:r>
    </w:p>
    <w:p w14:paraId="16EA19D1"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La razón de verosimilitud del modelo nulo tiene un valor de 356.981,811 para un modelo con 3 parámetros, que se comparará con el modelo definitivo. </w:t>
      </w:r>
    </w:p>
    <w:p w14:paraId="2DED1934"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El Coeficiente de Correlación Intraclase (CCI) es el grado de variabilidad que se da entre los diferentes centros en comparación con la variabilidad que existe entre los estudiantes del mismo centro (Pardo et al., 2007). </w:t>
      </w:r>
    </w:p>
    <w:p w14:paraId="7BECB52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C</w:t>
      </w:r>
      <w:r w:rsidRPr="00730378">
        <w:rPr>
          <w:vertAlign w:val="subscript"/>
          <w:lang w:eastAsia="es-ES" w:bidi="es-ES"/>
        </w:rPr>
        <w:t xml:space="preserve">CI  </w:t>
      </w:r>
      <w:r w:rsidRPr="00730378">
        <w:rPr>
          <w:lang w:eastAsia="es-ES" w:bidi="es-ES"/>
        </w:rPr>
        <w:t xml:space="preserve">= 1.223,053 / (6.151,584 + 1.223,053) = 0,1658 </w:t>
      </w:r>
    </w:p>
    <w:p w14:paraId="42EEB47F"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Este valor indica que el 16% de la varianza es varianza entre centros, es decir, es el porcentaje de la varianza no explicada por los predictores que se puede atribuir a la variable de agrupamiento en el nivel 2. </w:t>
      </w:r>
    </w:p>
    <w:p w14:paraId="5A8F3471"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La Tabla 4 presenta la parte fija y la parte aleatoria del primer modelo definitivo, que recogen el valor del parámetro y su error típico entre paréntesis. </w:t>
      </w:r>
    </w:p>
    <w:p w14:paraId="42DBB7C1" w14:textId="77777777" w:rsidR="008D4F67" w:rsidRPr="00730378" w:rsidRDefault="008D4F67" w:rsidP="008D4F67">
      <w:pPr>
        <w:pBdr>
          <w:top w:val="nil"/>
          <w:left w:val="nil"/>
          <w:bottom w:val="nil"/>
          <w:right w:val="nil"/>
          <w:between w:val="nil"/>
          <w:bar w:val="nil"/>
        </w:pBdr>
        <w:spacing w:line="240" w:lineRule="auto"/>
        <w:rPr>
          <w:i/>
          <w:iCs/>
          <w:lang w:eastAsia="es-ES" w:bidi="es-ES"/>
        </w:rPr>
      </w:pPr>
      <w:r w:rsidRPr="00730378">
        <w:rPr>
          <w:b/>
          <w:bCs/>
          <w:lang w:eastAsia="es-ES" w:bidi="es-ES"/>
        </w:rPr>
        <w:t xml:space="preserve">Tabla 4. </w:t>
      </w:r>
      <w:r w:rsidRPr="00730378">
        <w:rPr>
          <w:i/>
          <w:iCs/>
          <w:lang w:eastAsia="es-ES" w:bidi="es-ES"/>
        </w:rPr>
        <w:t>Modelo definitivo 1</w:t>
      </w:r>
    </w:p>
    <w:p w14:paraId="022545C0" w14:textId="77777777" w:rsidR="008D4F67" w:rsidRPr="00730378" w:rsidRDefault="008D4F67" w:rsidP="008D4F67">
      <w:pPr>
        <w:pBdr>
          <w:top w:val="nil"/>
          <w:left w:val="nil"/>
          <w:bottom w:val="nil"/>
          <w:right w:val="nil"/>
          <w:between w:val="nil"/>
          <w:bar w:val="nil"/>
        </w:pBdr>
        <w:spacing w:line="240" w:lineRule="auto"/>
        <w:rPr>
          <w:b/>
          <w:bCs/>
          <w:lang w:eastAsia="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168"/>
      </w:tblGrid>
      <w:tr w:rsidR="008D4F67" w:rsidRPr="00730378" w14:paraId="51AF2975" w14:textId="77777777" w:rsidTr="00262789">
        <w:trPr>
          <w:jc w:val="center"/>
        </w:trPr>
        <w:tc>
          <w:tcPr>
            <w:tcW w:w="5662" w:type="dxa"/>
            <w:gridSpan w:val="2"/>
            <w:tcBorders>
              <w:left w:val="nil"/>
              <w:right w:val="nil"/>
            </w:tcBorders>
          </w:tcPr>
          <w:p w14:paraId="6AF19A09" w14:textId="77777777" w:rsidR="008D4F67" w:rsidRPr="00730378" w:rsidRDefault="008D4F67" w:rsidP="00262789">
            <w:pPr>
              <w:pBdr>
                <w:top w:val="nil"/>
                <w:left w:val="nil"/>
                <w:bottom w:val="nil"/>
                <w:right w:val="nil"/>
                <w:between w:val="nil"/>
                <w:bar w:val="nil"/>
              </w:pBdr>
              <w:spacing w:line="240" w:lineRule="auto"/>
              <w:rPr>
                <w:b/>
                <w:bCs/>
                <w:lang w:eastAsia="es-ES" w:bidi="es-ES"/>
              </w:rPr>
            </w:pPr>
            <w:r w:rsidRPr="00730378">
              <w:rPr>
                <w:b/>
                <w:bCs/>
                <w:lang w:eastAsia="es-ES" w:bidi="es-ES"/>
              </w:rPr>
              <w:t>Parte fija</w:t>
            </w:r>
          </w:p>
        </w:tc>
      </w:tr>
      <w:tr w:rsidR="008D4F67" w:rsidRPr="00730378" w14:paraId="2765FD58" w14:textId="77777777" w:rsidTr="00262789">
        <w:trPr>
          <w:trHeight w:val="232"/>
          <w:jc w:val="center"/>
        </w:trPr>
        <w:tc>
          <w:tcPr>
            <w:tcW w:w="2831" w:type="dxa"/>
            <w:tcBorders>
              <w:left w:val="nil"/>
              <w:right w:val="nil"/>
            </w:tcBorders>
          </w:tcPr>
          <w:p w14:paraId="47D64458"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Constante</w:t>
            </w:r>
          </w:p>
        </w:tc>
        <w:tc>
          <w:tcPr>
            <w:tcW w:w="2831" w:type="dxa"/>
            <w:tcBorders>
              <w:left w:val="nil"/>
              <w:right w:val="nil"/>
            </w:tcBorders>
          </w:tcPr>
          <w:p w14:paraId="0208D1D1"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502.56 (3,41)</w:t>
            </w:r>
          </w:p>
        </w:tc>
      </w:tr>
      <w:tr w:rsidR="008D4F67" w:rsidRPr="00730378" w14:paraId="4468A583" w14:textId="77777777" w:rsidTr="00262789">
        <w:trPr>
          <w:jc w:val="center"/>
        </w:trPr>
        <w:tc>
          <w:tcPr>
            <w:tcW w:w="2831" w:type="dxa"/>
            <w:tcBorders>
              <w:left w:val="nil"/>
              <w:right w:val="nil"/>
            </w:tcBorders>
          </w:tcPr>
          <w:p w14:paraId="0EB4D83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Contexto socioeconómico del alumnado</w:t>
            </w:r>
          </w:p>
        </w:tc>
        <w:tc>
          <w:tcPr>
            <w:tcW w:w="2831" w:type="dxa"/>
            <w:tcBorders>
              <w:left w:val="nil"/>
              <w:right w:val="nil"/>
            </w:tcBorders>
          </w:tcPr>
          <w:p w14:paraId="4AD765C9"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10,47 (0,88)</w:t>
            </w:r>
          </w:p>
        </w:tc>
      </w:tr>
      <w:tr w:rsidR="008D4F67" w:rsidRPr="00730378" w14:paraId="01F64137" w14:textId="77777777" w:rsidTr="00262789">
        <w:trPr>
          <w:jc w:val="center"/>
        </w:trPr>
        <w:tc>
          <w:tcPr>
            <w:tcW w:w="2831" w:type="dxa"/>
            <w:tcBorders>
              <w:left w:val="nil"/>
              <w:right w:val="nil"/>
            </w:tcBorders>
          </w:tcPr>
          <w:p w14:paraId="7DA2761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Años escolarizados en educación infantil</w:t>
            </w:r>
          </w:p>
        </w:tc>
        <w:tc>
          <w:tcPr>
            <w:tcW w:w="2831" w:type="dxa"/>
            <w:tcBorders>
              <w:left w:val="nil"/>
              <w:right w:val="nil"/>
            </w:tcBorders>
          </w:tcPr>
          <w:p w14:paraId="5C9958F3"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5,65 (0,47)</w:t>
            </w:r>
          </w:p>
        </w:tc>
      </w:tr>
      <w:tr w:rsidR="008D4F67" w:rsidRPr="00730378" w14:paraId="13F33CFB" w14:textId="77777777" w:rsidTr="00262789">
        <w:trPr>
          <w:jc w:val="center"/>
        </w:trPr>
        <w:tc>
          <w:tcPr>
            <w:tcW w:w="2831" w:type="dxa"/>
            <w:tcBorders>
              <w:left w:val="nil"/>
              <w:right w:val="nil"/>
            </w:tcBorders>
          </w:tcPr>
          <w:p w14:paraId="5F3093C6"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Alfabetización temprana en casa antes de empezar educación primaria</w:t>
            </w:r>
          </w:p>
        </w:tc>
        <w:tc>
          <w:tcPr>
            <w:tcW w:w="2831" w:type="dxa"/>
            <w:tcBorders>
              <w:left w:val="nil"/>
              <w:right w:val="nil"/>
            </w:tcBorders>
          </w:tcPr>
          <w:p w14:paraId="65A206FE"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3,57 (0,31)</w:t>
            </w:r>
          </w:p>
        </w:tc>
      </w:tr>
      <w:tr w:rsidR="008D4F67" w:rsidRPr="00730378" w14:paraId="37548001" w14:textId="77777777" w:rsidTr="00262789">
        <w:trPr>
          <w:jc w:val="center"/>
        </w:trPr>
        <w:tc>
          <w:tcPr>
            <w:tcW w:w="2831" w:type="dxa"/>
            <w:tcBorders>
              <w:left w:val="nil"/>
              <w:right w:val="nil"/>
            </w:tcBorders>
          </w:tcPr>
          <w:p w14:paraId="75772293"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Estudiantes con seguridad en la lectura</w:t>
            </w:r>
          </w:p>
        </w:tc>
        <w:tc>
          <w:tcPr>
            <w:tcW w:w="2831" w:type="dxa"/>
            <w:tcBorders>
              <w:left w:val="nil"/>
              <w:right w:val="nil"/>
            </w:tcBorders>
          </w:tcPr>
          <w:p w14:paraId="767666D9"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1,27 (0,28)</w:t>
            </w:r>
          </w:p>
        </w:tc>
      </w:tr>
      <w:tr w:rsidR="008D4F67" w:rsidRPr="00730378" w14:paraId="42ACF92A" w14:textId="77777777" w:rsidTr="00262789">
        <w:trPr>
          <w:jc w:val="center"/>
        </w:trPr>
        <w:tc>
          <w:tcPr>
            <w:tcW w:w="2831" w:type="dxa"/>
            <w:tcBorders>
              <w:left w:val="nil"/>
              <w:right w:val="nil"/>
            </w:tcBorders>
          </w:tcPr>
          <w:p w14:paraId="3FBF72DE"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Composición escolar según el entorno del alumnado</w:t>
            </w:r>
          </w:p>
        </w:tc>
        <w:tc>
          <w:tcPr>
            <w:tcW w:w="2831" w:type="dxa"/>
            <w:tcBorders>
              <w:left w:val="nil"/>
              <w:right w:val="nil"/>
            </w:tcBorders>
          </w:tcPr>
          <w:p w14:paraId="2EA67395"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4,80 (0,32)</w:t>
            </w:r>
          </w:p>
        </w:tc>
      </w:tr>
      <w:tr w:rsidR="008D4F67" w:rsidRPr="00730378" w14:paraId="04094FCE" w14:textId="77777777" w:rsidTr="00262789">
        <w:trPr>
          <w:jc w:val="center"/>
        </w:trPr>
        <w:tc>
          <w:tcPr>
            <w:tcW w:w="2831" w:type="dxa"/>
            <w:tcBorders>
              <w:left w:val="nil"/>
              <w:right w:val="nil"/>
            </w:tcBorders>
          </w:tcPr>
          <w:p w14:paraId="00DF9887"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Estudiantes con habilidades básicas de alfabetización cuando empiezan la educación primaria</w:t>
            </w:r>
          </w:p>
        </w:tc>
        <w:tc>
          <w:tcPr>
            <w:tcW w:w="2831" w:type="dxa"/>
            <w:tcBorders>
              <w:left w:val="nil"/>
              <w:right w:val="nil"/>
            </w:tcBorders>
          </w:tcPr>
          <w:p w14:paraId="1CEB2579"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1,35 (0,10)</w:t>
            </w:r>
          </w:p>
        </w:tc>
      </w:tr>
      <w:tr w:rsidR="008D4F67" w:rsidRPr="00730378" w14:paraId="265AFB5F" w14:textId="77777777" w:rsidTr="00262789">
        <w:trPr>
          <w:jc w:val="center"/>
        </w:trPr>
        <w:tc>
          <w:tcPr>
            <w:tcW w:w="2831" w:type="dxa"/>
            <w:tcBorders>
              <w:left w:val="nil"/>
              <w:right w:val="nil"/>
            </w:tcBorders>
          </w:tcPr>
          <w:p w14:paraId="74473D54"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Énfasis escolar en el éxito académico</w:t>
            </w:r>
          </w:p>
        </w:tc>
        <w:tc>
          <w:tcPr>
            <w:tcW w:w="2831" w:type="dxa"/>
            <w:tcBorders>
              <w:left w:val="nil"/>
              <w:right w:val="nil"/>
            </w:tcBorders>
          </w:tcPr>
          <w:p w14:paraId="6C08BD81"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3,11 (0,25)</w:t>
            </w:r>
          </w:p>
        </w:tc>
      </w:tr>
      <w:tr w:rsidR="008D4F67" w:rsidRPr="00730378" w14:paraId="57FF9C86" w14:textId="77777777" w:rsidTr="00262789">
        <w:trPr>
          <w:jc w:val="center"/>
        </w:trPr>
        <w:tc>
          <w:tcPr>
            <w:tcW w:w="2831" w:type="dxa"/>
            <w:tcBorders>
              <w:left w:val="nil"/>
              <w:right w:val="nil"/>
            </w:tcBorders>
          </w:tcPr>
          <w:p w14:paraId="0B6A2895"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Tiempo de enseñanza</w:t>
            </w:r>
          </w:p>
        </w:tc>
        <w:tc>
          <w:tcPr>
            <w:tcW w:w="2831" w:type="dxa"/>
            <w:tcBorders>
              <w:left w:val="nil"/>
              <w:right w:val="nil"/>
            </w:tcBorders>
          </w:tcPr>
          <w:p w14:paraId="02A39108"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No significativo</w:t>
            </w:r>
          </w:p>
        </w:tc>
      </w:tr>
      <w:tr w:rsidR="008D4F67" w:rsidRPr="00730378" w14:paraId="0AFB2C7D" w14:textId="77777777" w:rsidTr="00262789">
        <w:trPr>
          <w:trHeight w:val="264"/>
          <w:jc w:val="center"/>
        </w:trPr>
        <w:tc>
          <w:tcPr>
            <w:tcW w:w="5662" w:type="dxa"/>
            <w:gridSpan w:val="2"/>
            <w:tcBorders>
              <w:left w:val="nil"/>
              <w:right w:val="nil"/>
            </w:tcBorders>
          </w:tcPr>
          <w:p w14:paraId="04249881"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b/>
                <w:bCs/>
                <w:lang w:eastAsia="es-ES" w:bidi="es-ES"/>
              </w:rPr>
              <w:t>Parte aleatoria</w:t>
            </w:r>
          </w:p>
        </w:tc>
      </w:tr>
      <w:tr w:rsidR="008D4F67" w:rsidRPr="00730378" w14:paraId="090F6F92" w14:textId="77777777" w:rsidTr="00262789">
        <w:trPr>
          <w:jc w:val="center"/>
        </w:trPr>
        <w:tc>
          <w:tcPr>
            <w:tcW w:w="2831" w:type="dxa"/>
            <w:tcBorders>
              <w:left w:val="nil"/>
              <w:right w:val="nil"/>
            </w:tcBorders>
          </w:tcPr>
          <w:p w14:paraId="60E65D8C"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Entre estudiantes</w:t>
            </w:r>
          </w:p>
        </w:tc>
        <w:tc>
          <w:tcPr>
            <w:tcW w:w="2831" w:type="dxa"/>
            <w:tcBorders>
              <w:left w:val="nil"/>
              <w:right w:val="nil"/>
            </w:tcBorders>
          </w:tcPr>
          <w:p w14:paraId="009FAF29"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4.812,827 (58,13)</w:t>
            </w:r>
          </w:p>
        </w:tc>
      </w:tr>
      <w:tr w:rsidR="008D4F67" w:rsidRPr="00730378" w14:paraId="3D1453F6" w14:textId="77777777" w:rsidTr="00262789">
        <w:trPr>
          <w:jc w:val="center"/>
        </w:trPr>
        <w:tc>
          <w:tcPr>
            <w:tcW w:w="2831" w:type="dxa"/>
            <w:tcBorders>
              <w:left w:val="nil"/>
              <w:right w:val="nil"/>
            </w:tcBorders>
          </w:tcPr>
          <w:p w14:paraId="3037E5F2"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Entre centros</w:t>
            </w:r>
          </w:p>
        </w:tc>
        <w:tc>
          <w:tcPr>
            <w:tcW w:w="2831" w:type="dxa"/>
            <w:tcBorders>
              <w:left w:val="nil"/>
              <w:right w:val="nil"/>
            </w:tcBorders>
          </w:tcPr>
          <w:p w14:paraId="6B7D32D7"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619,027 (39,138)</w:t>
            </w:r>
          </w:p>
        </w:tc>
      </w:tr>
      <w:tr w:rsidR="008D4F67" w:rsidRPr="00730378" w14:paraId="2F0B1543" w14:textId="77777777" w:rsidTr="00262789">
        <w:trPr>
          <w:jc w:val="center"/>
        </w:trPr>
        <w:tc>
          <w:tcPr>
            <w:tcW w:w="2831" w:type="dxa"/>
            <w:tcBorders>
              <w:left w:val="nil"/>
              <w:right w:val="nil"/>
            </w:tcBorders>
          </w:tcPr>
          <w:p w14:paraId="4FE5CB2C"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Razón de verosimilitud</w:t>
            </w:r>
          </w:p>
        </w:tc>
        <w:tc>
          <w:tcPr>
            <w:tcW w:w="2831" w:type="dxa"/>
            <w:tcBorders>
              <w:left w:val="nil"/>
              <w:right w:val="nil"/>
            </w:tcBorders>
          </w:tcPr>
          <w:p w14:paraId="3DB049C6"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val="es-ES_tradnl" w:eastAsia="es-ES" w:bidi="es-ES"/>
              </w:rPr>
              <w:t>192.356,712</w:t>
            </w:r>
          </w:p>
        </w:tc>
      </w:tr>
      <w:tr w:rsidR="008D4F67" w:rsidRPr="00730378" w14:paraId="4BE935D6" w14:textId="77777777" w:rsidTr="00262789">
        <w:trPr>
          <w:jc w:val="center"/>
        </w:trPr>
        <w:tc>
          <w:tcPr>
            <w:tcW w:w="2831" w:type="dxa"/>
            <w:tcBorders>
              <w:left w:val="nil"/>
              <w:right w:val="nil"/>
            </w:tcBorders>
          </w:tcPr>
          <w:p w14:paraId="573B6722" w14:textId="77777777" w:rsidR="008D4F67" w:rsidRPr="00730378" w:rsidRDefault="008D4F67" w:rsidP="00262789">
            <w:pPr>
              <w:pBdr>
                <w:top w:val="nil"/>
                <w:left w:val="nil"/>
                <w:bottom w:val="nil"/>
                <w:right w:val="nil"/>
                <w:between w:val="nil"/>
                <w:bar w:val="nil"/>
              </w:pBdr>
              <w:spacing w:line="240" w:lineRule="auto"/>
              <w:rPr>
                <w:lang w:eastAsia="es-ES" w:bidi="es-ES"/>
              </w:rPr>
            </w:pPr>
            <w:r w:rsidRPr="00730378">
              <w:rPr>
                <w:lang w:eastAsia="es-ES" w:bidi="es-ES"/>
              </w:rPr>
              <w:t>Número de parámetros</w:t>
            </w:r>
          </w:p>
        </w:tc>
        <w:tc>
          <w:tcPr>
            <w:tcW w:w="2831" w:type="dxa"/>
            <w:tcBorders>
              <w:left w:val="nil"/>
              <w:right w:val="nil"/>
            </w:tcBorders>
          </w:tcPr>
          <w:p w14:paraId="1CF05B3F" w14:textId="77777777" w:rsidR="008D4F67" w:rsidRPr="00730378" w:rsidRDefault="008D4F67" w:rsidP="00262789">
            <w:pPr>
              <w:pBdr>
                <w:top w:val="nil"/>
                <w:left w:val="nil"/>
                <w:bottom w:val="nil"/>
                <w:right w:val="nil"/>
                <w:between w:val="nil"/>
                <w:bar w:val="nil"/>
              </w:pBdr>
              <w:spacing w:line="240" w:lineRule="auto"/>
              <w:jc w:val="right"/>
              <w:rPr>
                <w:lang w:eastAsia="es-ES" w:bidi="es-ES"/>
              </w:rPr>
            </w:pPr>
            <w:r w:rsidRPr="00730378">
              <w:rPr>
                <w:lang w:eastAsia="es-ES" w:bidi="es-ES"/>
              </w:rPr>
              <w:t>11</w:t>
            </w:r>
          </w:p>
        </w:tc>
      </w:tr>
    </w:tbl>
    <w:p w14:paraId="4CC32430"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Fuente: Elaboración propia. </w:t>
      </w:r>
    </w:p>
    <w:p w14:paraId="7550304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Según los parámetros de la parte fija del modelo, el rendimiento lector medio es igual a 502,56 puntos. El contexto socioeconómico del alumnado influye sobre el rendimiento lector del alumnado. A medida que aumenta un punto la media del contexto socioeconómico del alumnado, el rendimiento medio aumenta en 10,47 puntos. Los años escolarizados en educación infantil inciden sobre el rendimiento, de modo que, por cada año escolarizado en educación infantil, el rendimiento aumenta en 5,65 puntos. La alfabetización temprana en casa también influye sobre el rendimiento. A medida que aumenta en un punto la frecuencia con la que el alumno leyó libros con algún familiar en casa antes de ir al colegio por primera vez, el rendimiento aumenta en 3,57 puntos. La seguridad en la lectura también influye sobre el rendimiento, de modo que, por cada punto que aumenta la seguridad, el rendimiento aumenta en 1,27 puntos. </w:t>
      </w:r>
    </w:p>
    <w:p w14:paraId="20593B1C"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La composición escolar según el entorno del alumnado incide sobre el rendimiento. A medida que aumenta en un punto el contexto escolar del alumnado, el rendimiento aumenta en 4,80 puntos. El número de estudiantes del </w:t>
      </w:r>
      <w:r w:rsidRPr="00730378">
        <w:rPr>
          <w:lang w:eastAsia="es-ES" w:bidi="es-ES"/>
        </w:rPr>
        <w:lastRenderedPageBreak/>
        <w:t xml:space="preserve">centro con habilidades básicas de alfabetización cuando comienzan la educación primaria tiene un efecto significativo sobre el rendimiento. A medida que aumenta en un punto (hasta un 25%) el porcentaje de alumnos en un centro con habilidades básica, el rendimiento aumenta en 1,35 puntos. El énfasis escolar en el éxito académico influye sobre el rendimiento, de modo que a medida que aumenta en un punto el énfasis, el rendimiento aumenta en 3,11 puntos. El tiempo de enseñanza por día lectivo no ha resultado significativo, de modo que no influye sobre el rendimiento. </w:t>
      </w:r>
    </w:p>
    <w:p w14:paraId="3601B2DE" w14:textId="77777777" w:rsidR="0091024B" w:rsidRPr="0091024B" w:rsidRDefault="0091024B" w:rsidP="0091024B">
      <w:pPr>
        <w:keepNext/>
        <w:framePr w:dropCap="drop" w:lines="3" w:wrap="around" w:vAnchor="text" w:hAnchor="page" w:x="5946" w:y="304"/>
        <w:pBdr>
          <w:top w:val="nil"/>
          <w:left w:val="nil"/>
          <w:between w:val="nil"/>
          <w:bar w:val="nil"/>
        </w:pBdr>
        <w:spacing w:line="240" w:lineRule="auto"/>
        <w:textAlignment w:val="baseline"/>
        <w:rPr>
          <w:rFonts w:eastAsia="Arial Unicode MS"/>
          <w:sz w:val="166"/>
          <w:szCs w:val="166"/>
          <w:bdr w:val="nil"/>
          <w:vertAlign w:val="subscript"/>
          <w:lang w:eastAsia="es-ES"/>
        </w:rPr>
      </w:pPr>
      <w:r>
        <w:rPr>
          <w:rFonts w:eastAsia="Arial Unicode MS"/>
          <w:position w:val="-8"/>
          <w:sz w:val="166"/>
          <w:szCs w:val="166"/>
          <w:bdr w:val="nil"/>
          <w:vertAlign w:val="subscript"/>
          <w:lang w:eastAsia="es-ES"/>
        </w:rPr>
        <w:t>E</w:t>
      </w:r>
    </w:p>
    <w:p w14:paraId="1A3D6BE1"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Los resultados muestran una diferencia de un chi-cuadrado de 164.625,099 con 8 grados de libertad, que resulta significativo al 0.01, lo cual confirma un mejor ajuste del modelo definitivo con respecto al nulo. Los predictores incluidos en el modelo explican el 22% de las diferencias entre los estudiantes (R</w:t>
      </w:r>
      <w:r w:rsidRPr="00730378">
        <w:rPr>
          <w:vertAlign w:val="superscript"/>
          <w:lang w:eastAsia="es-ES" w:bidi="es-ES"/>
        </w:rPr>
        <w:t xml:space="preserve">2 </w:t>
      </w:r>
      <w:r w:rsidRPr="00730378">
        <w:rPr>
          <w:lang w:eastAsia="es-ES" w:bidi="es-ES"/>
        </w:rPr>
        <w:t>= 0,2176). Asimismo, las variables predictoras explican el 49% de la variabilidad entre centros educativos (R</w:t>
      </w:r>
      <w:r w:rsidRPr="00730378">
        <w:rPr>
          <w:vertAlign w:val="superscript"/>
          <w:lang w:eastAsia="es-ES" w:bidi="es-ES"/>
        </w:rPr>
        <w:t xml:space="preserve">2 </w:t>
      </w:r>
      <w:r w:rsidRPr="00730378">
        <w:rPr>
          <w:lang w:eastAsia="es-ES" w:bidi="es-ES"/>
        </w:rPr>
        <w:t xml:space="preserve">= 0,4938), lo cual demuestra la importancia de las variables del centro educativo. </w:t>
      </w:r>
    </w:p>
    <w:p w14:paraId="41604DE3"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La Tabla 5 presenta la parte fija y la parte aleatoria del segundo modelo definitivo, que incluye aquellas variables que han resultado significativas en el modelo definitivo 1, excluyendo la variable “Tiempo de enseñanza”, que no resulta significativa.</w:t>
      </w:r>
    </w:p>
    <w:p w14:paraId="2698CB51" w14:textId="77777777" w:rsidR="008D4F67" w:rsidRPr="00730378" w:rsidRDefault="008D4F67" w:rsidP="008D4F67">
      <w:pPr>
        <w:pBdr>
          <w:top w:val="nil"/>
          <w:left w:val="nil"/>
          <w:bottom w:val="nil"/>
          <w:right w:val="nil"/>
          <w:between w:val="nil"/>
          <w:bar w:val="nil"/>
        </w:pBdr>
        <w:spacing w:line="240" w:lineRule="auto"/>
        <w:rPr>
          <w:i/>
          <w:iCs/>
          <w:lang w:eastAsia="es-ES" w:bidi="es-ES"/>
        </w:rPr>
      </w:pPr>
      <w:r w:rsidRPr="00730378">
        <w:rPr>
          <w:b/>
          <w:bCs/>
          <w:lang w:eastAsia="es-ES" w:bidi="es-ES"/>
        </w:rPr>
        <w:t xml:space="preserve">Tabla 5. </w:t>
      </w:r>
      <w:r w:rsidRPr="00730378">
        <w:rPr>
          <w:i/>
          <w:iCs/>
          <w:lang w:eastAsia="es-ES" w:bidi="es-ES"/>
        </w:rPr>
        <w:t>Modelo definitivo 2</w:t>
      </w:r>
    </w:p>
    <w:p w14:paraId="4EBCB1B3" w14:textId="77777777" w:rsidR="008D4F67" w:rsidRPr="00730378" w:rsidRDefault="008D4F67" w:rsidP="008D4F67">
      <w:pPr>
        <w:pBdr>
          <w:top w:val="nil"/>
          <w:left w:val="nil"/>
          <w:bottom w:val="nil"/>
          <w:right w:val="nil"/>
          <w:between w:val="nil"/>
          <w:bar w:val="nil"/>
        </w:pBdr>
        <w:spacing w:line="240" w:lineRule="auto"/>
        <w:rPr>
          <w:b/>
          <w:bCs/>
          <w:lang w:eastAsia="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168"/>
      </w:tblGrid>
      <w:tr w:rsidR="008D4F67" w:rsidRPr="00730378" w14:paraId="0CF63FAF" w14:textId="77777777" w:rsidTr="00262789">
        <w:trPr>
          <w:jc w:val="center"/>
        </w:trPr>
        <w:tc>
          <w:tcPr>
            <w:tcW w:w="4908" w:type="dxa"/>
            <w:gridSpan w:val="2"/>
            <w:tcBorders>
              <w:left w:val="nil"/>
              <w:right w:val="nil"/>
            </w:tcBorders>
          </w:tcPr>
          <w:p w14:paraId="37FA009C" w14:textId="77777777" w:rsidR="008D4F67" w:rsidRPr="00730378" w:rsidRDefault="008D4F67" w:rsidP="00262789">
            <w:pPr>
              <w:pBdr>
                <w:top w:val="nil"/>
                <w:left w:val="nil"/>
                <w:bottom w:val="nil"/>
                <w:right w:val="nil"/>
                <w:between w:val="nil"/>
                <w:bar w:val="nil"/>
              </w:pBdr>
              <w:spacing w:line="240" w:lineRule="auto"/>
              <w:contextualSpacing/>
              <w:rPr>
                <w:b/>
                <w:bCs/>
                <w:lang w:eastAsia="es-ES" w:bidi="es-ES"/>
              </w:rPr>
            </w:pPr>
            <w:r w:rsidRPr="00730378">
              <w:rPr>
                <w:b/>
                <w:bCs/>
                <w:lang w:eastAsia="es-ES" w:bidi="es-ES"/>
              </w:rPr>
              <w:t>Parte fija</w:t>
            </w:r>
          </w:p>
        </w:tc>
      </w:tr>
      <w:tr w:rsidR="008D4F67" w:rsidRPr="00730378" w14:paraId="363D5627" w14:textId="77777777" w:rsidTr="00262789">
        <w:trPr>
          <w:jc w:val="center"/>
        </w:trPr>
        <w:tc>
          <w:tcPr>
            <w:tcW w:w="2493" w:type="dxa"/>
            <w:tcBorders>
              <w:left w:val="nil"/>
              <w:right w:val="nil"/>
            </w:tcBorders>
          </w:tcPr>
          <w:p w14:paraId="5DF5DC56"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Constante</w:t>
            </w:r>
          </w:p>
        </w:tc>
        <w:tc>
          <w:tcPr>
            <w:tcW w:w="2415" w:type="dxa"/>
            <w:tcBorders>
              <w:left w:val="nil"/>
              <w:right w:val="nil"/>
            </w:tcBorders>
          </w:tcPr>
          <w:p w14:paraId="3C12BF30"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509,24 (4,02)</w:t>
            </w:r>
          </w:p>
        </w:tc>
      </w:tr>
      <w:tr w:rsidR="008D4F67" w:rsidRPr="00730378" w14:paraId="760FF9B1" w14:textId="77777777" w:rsidTr="00262789">
        <w:trPr>
          <w:jc w:val="center"/>
        </w:trPr>
        <w:tc>
          <w:tcPr>
            <w:tcW w:w="2493" w:type="dxa"/>
            <w:tcBorders>
              <w:left w:val="nil"/>
              <w:right w:val="nil"/>
            </w:tcBorders>
          </w:tcPr>
          <w:p w14:paraId="6A1ED51B"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Contexto socioeconómico del alumnado</w:t>
            </w:r>
          </w:p>
        </w:tc>
        <w:tc>
          <w:tcPr>
            <w:tcW w:w="2415" w:type="dxa"/>
            <w:tcBorders>
              <w:left w:val="nil"/>
              <w:right w:val="nil"/>
            </w:tcBorders>
          </w:tcPr>
          <w:p w14:paraId="3BE25CD4"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11,63 (0,91)</w:t>
            </w:r>
          </w:p>
        </w:tc>
      </w:tr>
      <w:tr w:rsidR="008D4F67" w:rsidRPr="00730378" w14:paraId="7038AB50" w14:textId="77777777" w:rsidTr="00262789">
        <w:trPr>
          <w:jc w:val="center"/>
        </w:trPr>
        <w:tc>
          <w:tcPr>
            <w:tcW w:w="2493" w:type="dxa"/>
            <w:tcBorders>
              <w:left w:val="nil"/>
              <w:right w:val="nil"/>
            </w:tcBorders>
          </w:tcPr>
          <w:p w14:paraId="5DEB02D8"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Años escolarizados en educación infantil</w:t>
            </w:r>
          </w:p>
        </w:tc>
        <w:tc>
          <w:tcPr>
            <w:tcW w:w="2415" w:type="dxa"/>
            <w:tcBorders>
              <w:left w:val="nil"/>
              <w:right w:val="nil"/>
            </w:tcBorders>
          </w:tcPr>
          <w:p w14:paraId="1BD908F0"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6,18 (0,69)</w:t>
            </w:r>
          </w:p>
        </w:tc>
      </w:tr>
      <w:tr w:rsidR="008D4F67" w:rsidRPr="00730378" w14:paraId="5110DB80" w14:textId="77777777" w:rsidTr="00262789">
        <w:trPr>
          <w:jc w:val="center"/>
        </w:trPr>
        <w:tc>
          <w:tcPr>
            <w:tcW w:w="2493" w:type="dxa"/>
            <w:tcBorders>
              <w:left w:val="nil"/>
              <w:right w:val="nil"/>
            </w:tcBorders>
          </w:tcPr>
          <w:p w14:paraId="49110AE2"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Alfabetización temprana en casa antes de empezar educación primaria</w:t>
            </w:r>
          </w:p>
        </w:tc>
        <w:tc>
          <w:tcPr>
            <w:tcW w:w="2415" w:type="dxa"/>
            <w:tcBorders>
              <w:left w:val="nil"/>
              <w:right w:val="nil"/>
            </w:tcBorders>
          </w:tcPr>
          <w:p w14:paraId="2DDB4C74"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4,29 (0,45)</w:t>
            </w:r>
          </w:p>
        </w:tc>
      </w:tr>
      <w:tr w:rsidR="008D4F67" w:rsidRPr="00730378" w14:paraId="77214508" w14:textId="77777777" w:rsidTr="00262789">
        <w:trPr>
          <w:jc w:val="center"/>
        </w:trPr>
        <w:tc>
          <w:tcPr>
            <w:tcW w:w="2493" w:type="dxa"/>
            <w:tcBorders>
              <w:left w:val="nil"/>
              <w:right w:val="nil"/>
            </w:tcBorders>
          </w:tcPr>
          <w:p w14:paraId="0EC1A3C8"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Estudiantes con seguridad en la lectura</w:t>
            </w:r>
          </w:p>
        </w:tc>
        <w:tc>
          <w:tcPr>
            <w:tcW w:w="2415" w:type="dxa"/>
            <w:tcBorders>
              <w:left w:val="nil"/>
              <w:right w:val="nil"/>
            </w:tcBorders>
          </w:tcPr>
          <w:p w14:paraId="35B4E0CF"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2,13 (0,37)</w:t>
            </w:r>
          </w:p>
        </w:tc>
      </w:tr>
      <w:tr w:rsidR="008D4F67" w:rsidRPr="00730378" w14:paraId="183016C3" w14:textId="77777777" w:rsidTr="00262789">
        <w:trPr>
          <w:jc w:val="center"/>
        </w:trPr>
        <w:tc>
          <w:tcPr>
            <w:tcW w:w="2493" w:type="dxa"/>
            <w:tcBorders>
              <w:left w:val="nil"/>
              <w:right w:val="nil"/>
            </w:tcBorders>
          </w:tcPr>
          <w:p w14:paraId="526229F5"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Composición escolar según el entorno del alumnado</w:t>
            </w:r>
          </w:p>
        </w:tc>
        <w:tc>
          <w:tcPr>
            <w:tcW w:w="2415" w:type="dxa"/>
            <w:tcBorders>
              <w:left w:val="nil"/>
              <w:right w:val="nil"/>
            </w:tcBorders>
          </w:tcPr>
          <w:p w14:paraId="1AF08522"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5,97 (0,48)</w:t>
            </w:r>
          </w:p>
        </w:tc>
      </w:tr>
      <w:tr w:rsidR="008D4F67" w:rsidRPr="00730378" w14:paraId="0D3A0B52" w14:textId="77777777" w:rsidTr="00262789">
        <w:trPr>
          <w:jc w:val="center"/>
        </w:trPr>
        <w:tc>
          <w:tcPr>
            <w:tcW w:w="2493" w:type="dxa"/>
            <w:tcBorders>
              <w:left w:val="nil"/>
              <w:right w:val="nil"/>
            </w:tcBorders>
          </w:tcPr>
          <w:p w14:paraId="07E5ED2B"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Estudiantes con habilidades básicas de alfabetización cuando empiezan la educación primaria</w:t>
            </w:r>
          </w:p>
        </w:tc>
        <w:tc>
          <w:tcPr>
            <w:tcW w:w="2415" w:type="dxa"/>
            <w:tcBorders>
              <w:left w:val="nil"/>
              <w:right w:val="nil"/>
            </w:tcBorders>
          </w:tcPr>
          <w:p w14:paraId="1AC83230"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2,81 (0,27)</w:t>
            </w:r>
          </w:p>
        </w:tc>
      </w:tr>
      <w:tr w:rsidR="008D4F67" w:rsidRPr="00730378" w14:paraId="18854C71" w14:textId="77777777" w:rsidTr="00262789">
        <w:trPr>
          <w:jc w:val="center"/>
        </w:trPr>
        <w:tc>
          <w:tcPr>
            <w:tcW w:w="2493" w:type="dxa"/>
            <w:tcBorders>
              <w:left w:val="nil"/>
              <w:right w:val="nil"/>
            </w:tcBorders>
          </w:tcPr>
          <w:p w14:paraId="06D0FEE4"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Énfasis escolar en el éxito académico</w:t>
            </w:r>
          </w:p>
        </w:tc>
        <w:tc>
          <w:tcPr>
            <w:tcW w:w="2415" w:type="dxa"/>
            <w:tcBorders>
              <w:left w:val="nil"/>
              <w:right w:val="nil"/>
            </w:tcBorders>
          </w:tcPr>
          <w:p w14:paraId="1ACF29DA"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4,39 (0,36)</w:t>
            </w:r>
          </w:p>
        </w:tc>
      </w:tr>
      <w:tr w:rsidR="008D4F67" w:rsidRPr="00730378" w14:paraId="38EF1021" w14:textId="77777777" w:rsidTr="00262789">
        <w:trPr>
          <w:trHeight w:val="264"/>
          <w:jc w:val="center"/>
        </w:trPr>
        <w:tc>
          <w:tcPr>
            <w:tcW w:w="4908" w:type="dxa"/>
            <w:gridSpan w:val="2"/>
            <w:tcBorders>
              <w:left w:val="nil"/>
              <w:right w:val="nil"/>
            </w:tcBorders>
          </w:tcPr>
          <w:p w14:paraId="4CD24006"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b/>
                <w:bCs/>
                <w:lang w:eastAsia="es-ES" w:bidi="es-ES"/>
              </w:rPr>
              <w:t>Parte aleatoria</w:t>
            </w:r>
          </w:p>
        </w:tc>
      </w:tr>
      <w:tr w:rsidR="008D4F67" w:rsidRPr="00730378" w14:paraId="30127F4B" w14:textId="77777777" w:rsidTr="00262789">
        <w:trPr>
          <w:jc w:val="center"/>
        </w:trPr>
        <w:tc>
          <w:tcPr>
            <w:tcW w:w="2493" w:type="dxa"/>
            <w:tcBorders>
              <w:left w:val="nil"/>
              <w:right w:val="nil"/>
            </w:tcBorders>
          </w:tcPr>
          <w:p w14:paraId="464A95AF"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Entre estudiantes</w:t>
            </w:r>
          </w:p>
        </w:tc>
        <w:tc>
          <w:tcPr>
            <w:tcW w:w="2415" w:type="dxa"/>
            <w:tcBorders>
              <w:left w:val="nil"/>
              <w:right w:val="nil"/>
            </w:tcBorders>
          </w:tcPr>
          <w:p w14:paraId="365D304B"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4.685,913 (51,765)</w:t>
            </w:r>
          </w:p>
        </w:tc>
      </w:tr>
      <w:tr w:rsidR="008D4F67" w:rsidRPr="00730378" w14:paraId="483479F1" w14:textId="77777777" w:rsidTr="00262789">
        <w:trPr>
          <w:jc w:val="center"/>
        </w:trPr>
        <w:tc>
          <w:tcPr>
            <w:tcW w:w="2493" w:type="dxa"/>
            <w:tcBorders>
              <w:left w:val="nil"/>
              <w:right w:val="nil"/>
            </w:tcBorders>
          </w:tcPr>
          <w:p w14:paraId="50AA361D"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Entre centros</w:t>
            </w:r>
          </w:p>
        </w:tc>
        <w:tc>
          <w:tcPr>
            <w:tcW w:w="2415" w:type="dxa"/>
            <w:tcBorders>
              <w:left w:val="nil"/>
              <w:right w:val="nil"/>
            </w:tcBorders>
          </w:tcPr>
          <w:p w14:paraId="2CEAD685"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583,602 (34,017)</w:t>
            </w:r>
          </w:p>
        </w:tc>
      </w:tr>
      <w:tr w:rsidR="008D4F67" w:rsidRPr="00730378" w14:paraId="21640955" w14:textId="77777777" w:rsidTr="00262789">
        <w:trPr>
          <w:jc w:val="center"/>
        </w:trPr>
        <w:tc>
          <w:tcPr>
            <w:tcW w:w="2493" w:type="dxa"/>
            <w:tcBorders>
              <w:left w:val="nil"/>
              <w:right w:val="nil"/>
            </w:tcBorders>
          </w:tcPr>
          <w:p w14:paraId="2036F349"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Razón de verosimilitud</w:t>
            </w:r>
          </w:p>
        </w:tc>
        <w:tc>
          <w:tcPr>
            <w:tcW w:w="2415" w:type="dxa"/>
            <w:tcBorders>
              <w:left w:val="nil"/>
              <w:right w:val="nil"/>
            </w:tcBorders>
          </w:tcPr>
          <w:p w14:paraId="771FFE19"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val="es-ES_tradnl" w:eastAsia="es-ES" w:bidi="es-ES"/>
              </w:rPr>
              <w:t>176.067,151</w:t>
            </w:r>
          </w:p>
        </w:tc>
      </w:tr>
      <w:tr w:rsidR="008D4F67" w:rsidRPr="00730378" w14:paraId="08CCB2DF" w14:textId="77777777" w:rsidTr="00262789">
        <w:trPr>
          <w:jc w:val="center"/>
        </w:trPr>
        <w:tc>
          <w:tcPr>
            <w:tcW w:w="2493" w:type="dxa"/>
            <w:tcBorders>
              <w:left w:val="nil"/>
              <w:right w:val="nil"/>
            </w:tcBorders>
          </w:tcPr>
          <w:p w14:paraId="15C6CC49" w14:textId="77777777" w:rsidR="008D4F67" w:rsidRPr="00730378" w:rsidRDefault="008D4F67" w:rsidP="00262789">
            <w:pPr>
              <w:pBdr>
                <w:top w:val="nil"/>
                <w:left w:val="nil"/>
                <w:bottom w:val="nil"/>
                <w:right w:val="nil"/>
                <w:between w:val="nil"/>
                <w:bar w:val="nil"/>
              </w:pBdr>
              <w:spacing w:line="240" w:lineRule="auto"/>
              <w:contextualSpacing/>
              <w:rPr>
                <w:lang w:eastAsia="es-ES" w:bidi="es-ES"/>
              </w:rPr>
            </w:pPr>
            <w:r w:rsidRPr="00730378">
              <w:rPr>
                <w:lang w:eastAsia="es-ES" w:bidi="es-ES"/>
              </w:rPr>
              <w:t>Número de parámetros</w:t>
            </w:r>
          </w:p>
        </w:tc>
        <w:tc>
          <w:tcPr>
            <w:tcW w:w="2415" w:type="dxa"/>
            <w:tcBorders>
              <w:left w:val="nil"/>
              <w:right w:val="nil"/>
            </w:tcBorders>
          </w:tcPr>
          <w:p w14:paraId="0697CE29" w14:textId="77777777" w:rsidR="008D4F67" w:rsidRPr="00730378" w:rsidRDefault="008D4F67" w:rsidP="00262789">
            <w:pPr>
              <w:pBdr>
                <w:top w:val="nil"/>
                <w:left w:val="nil"/>
                <w:bottom w:val="nil"/>
                <w:right w:val="nil"/>
                <w:between w:val="nil"/>
                <w:bar w:val="nil"/>
              </w:pBdr>
              <w:spacing w:line="240" w:lineRule="auto"/>
              <w:contextualSpacing/>
              <w:jc w:val="right"/>
              <w:rPr>
                <w:lang w:eastAsia="es-ES" w:bidi="es-ES"/>
              </w:rPr>
            </w:pPr>
            <w:r w:rsidRPr="00730378">
              <w:rPr>
                <w:lang w:eastAsia="es-ES" w:bidi="es-ES"/>
              </w:rPr>
              <w:t>10</w:t>
            </w:r>
          </w:p>
        </w:tc>
      </w:tr>
    </w:tbl>
    <w:p w14:paraId="2FF6BC6D"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 xml:space="preserve">Fuente: Elaboración propia. </w:t>
      </w:r>
    </w:p>
    <w:p w14:paraId="27A769E8" w14:textId="77777777" w:rsidR="008D4F67" w:rsidRPr="00730378" w:rsidRDefault="008D4F67" w:rsidP="008D4F67">
      <w:pPr>
        <w:pBdr>
          <w:top w:val="nil"/>
          <w:left w:val="nil"/>
          <w:bottom w:val="nil"/>
          <w:right w:val="nil"/>
          <w:between w:val="nil"/>
          <w:bar w:val="nil"/>
        </w:pBdr>
        <w:spacing w:line="240" w:lineRule="auto"/>
        <w:rPr>
          <w:lang w:eastAsia="es-ES" w:bidi="es-ES"/>
        </w:rPr>
      </w:pPr>
      <w:r w:rsidRPr="00730378">
        <w:rPr>
          <w:lang w:eastAsia="es-ES" w:bidi="es-ES"/>
        </w:rPr>
        <w:t>Los resultados del segundo modelo definitivo muestran una diferencia de un chi-cuadrado de 180.914,66 con 7 grados de libertad, que resulta significativo al 0.01, lo cual confirma un mejor ajuste del segundo modelo definitivo. Los predictores incluidos en el segundo modelo explican el 24% de las diferencias entre los estudiantes (R</w:t>
      </w:r>
      <w:r w:rsidRPr="00730378">
        <w:rPr>
          <w:vertAlign w:val="superscript"/>
          <w:lang w:eastAsia="es-ES" w:bidi="es-ES"/>
        </w:rPr>
        <w:t xml:space="preserve">2 </w:t>
      </w:r>
      <w:r w:rsidRPr="00730378">
        <w:rPr>
          <w:lang w:eastAsia="es-ES" w:bidi="es-ES"/>
        </w:rPr>
        <w:t>= 0,2382). Asimismo, las variables predictoras explican el 52% de la variabilidad entre centros educativos (R</w:t>
      </w:r>
      <w:r w:rsidRPr="00730378">
        <w:rPr>
          <w:vertAlign w:val="superscript"/>
          <w:lang w:eastAsia="es-ES" w:bidi="es-ES"/>
        </w:rPr>
        <w:t xml:space="preserve">2 </w:t>
      </w:r>
      <w:r w:rsidRPr="00730378">
        <w:rPr>
          <w:lang w:eastAsia="es-ES" w:bidi="es-ES"/>
        </w:rPr>
        <w:t xml:space="preserve">= 0,5228). </w:t>
      </w:r>
    </w:p>
    <w:p w14:paraId="5C96A79F" w14:textId="77777777" w:rsidR="008D4F67" w:rsidRPr="00730378" w:rsidRDefault="008D4F67" w:rsidP="008D4F67">
      <w:pPr>
        <w:pBdr>
          <w:top w:val="nil"/>
          <w:left w:val="nil"/>
          <w:bottom w:val="nil"/>
          <w:right w:val="nil"/>
          <w:between w:val="nil"/>
          <w:bar w:val="nil"/>
        </w:pBdr>
        <w:spacing w:line="240" w:lineRule="auto"/>
        <w:rPr>
          <w:lang w:eastAsia="es-ES" w:bidi="es-ES"/>
        </w:rPr>
      </w:pPr>
    </w:p>
    <w:p w14:paraId="1AA95D66" w14:textId="77777777" w:rsidR="008D4F67" w:rsidRPr="00730378" w:rsidRDefault="008D4F67" w:rsidP="008D4F67">
      <w:pPr>
        <w:pBdr>
          <w:top w:val="nil"/>
          <w:left w:val="nil"/>
          <w:bottom w:val="nil"/>
          <w:right w:val="nil"/>
          <w:between w:val="nil"/>
          <w:bar w:val="nil"/>
        </w:pBdr>
        <w:spacing w:line="240" w:lineRule="auto"/>
        <w:rPr>
          <w:rFonts w:eastAsia="Arial Unicode MS"/>
          <w:bdr w:val="nil"/>
          <w:lang w:eastAsia="es-ES"/>
        </w:rPr>
      </w:pPr>
      <w:r w:rsidRPr="00730378">
        <w:rPr>
          <w:rFonts w:ascii="Georgia" w:eastAsia="Arial Unicode MS" w:hAnsi="Georgia"/>
          <w:b/>
          <w:bCs/>
          <w:color w:val="7A1C61"/>
          <w:sz w:val="26"/>
          <w:szCs w:val="26"/>
          <w:bdr w:val="nil"/>
          <w:lang w:eastAsia="es-ES"/>
        </w:rPr>
        <w:t>DISCUSIÓN Y CONCLUSIÓN</w:t>
      </w:r>
    </w:p>
    <w:p w14:paraId="79B548CA" w14:textId="77777777" w:rsidR="008D4F67" w:rsidRPr="00730378" w:rsidRDefault="008D4F67" w:rsidP="008D4F67">
      <w:pPr>
        <w:pBdr>
          <w:top w:val="nil"/>
          <w:left w:val="nil"/>
          <w:bottom w:val="nil"/>
          <w:right w:val="nil"/>
          <w:between w:val="nil"/>
          <w:bar w:val="nil"/>
        </w:pBdr>
        <w:spacing w:line="240" w:lineRule="auto"/>
        <w:rPr>
          <w:rFonts w:eastAsia="Arial Unicode MS"/>
          <w:bdr w:val="nil"/>
          <w:lang w:eastAsia="es-ES"/>
        </w:rPr>
      </w:pPr>
    </w:p>
    <w:p w14:paraId="3AB653A9" w14:textId="77777777" w:rsidR="008D4F67" w:rsidRPr="00730378" w:rsidRDefault="008D4F67" w:rsidP="008D4F67">
      <w:pPr>
        <w:pBdr>
          <w:top w:val="nil"/>
          <w:left w:val="nil"/>
          <w:bottom w:val="nil"/>
          <w:right w:val="nil"/>
          <w:between w:val="nil"/>
          <w:bar w:val="nil"/>
        </w:pBdr>
        <w:rPr>
          <w:rFonts w:eastAsia="Arial Unicode MS"/>
          <w:bdr w:val="nil"/>
          <w:lang w:eastAsia="es-ES"/>
        </w:rPr>
      </w:pPr>
      <w:r w:rsidRPr="00730378">
        <w:rPr>
          <w:rFonts w:eastAsia="Arial Unicode MS"/>
          <w:bdr w:val="nil"/>
          <w:lang w:eastAsia="es-ES"/>
        </w:rPr>
        <w:t xml:space="preserve">l </w:t>
      </w:r>
      <w:r w:rsidRPr="00730378">
        <w:rPr>
          <w:lang w:eastAsia="es-ES" w:bidi="es-ES"/>
        </w:rPr>
        <w:t>el primer objetivo de esta investigación era conocer el perfil lector del alumno medio que ha participado en el estudio PIRLS 2021, que ha estado escolarizado entre dos y tres años en la etapa de Educación Infantil, ha leído libros a veces antes de empezar la educación primaria y se siente algo seguro cuando lee. Asimismo, acude a un centro educativo situado en un contexto socioeconómico medio, donde se hace un alto énfasis en el éxito académico del alumnado.</w:t>
      </w:r>
    </w:p>
    <w:p w14:paraId="7FB451FB"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43BA1759"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El segundo objetivo de este trabajo era predecir la influencia de los predictores del estudiante y escolares sobre el rendimiento lector. </w:t>
      </w:r>
    </w:p>
    <w:p w14:paraId="551E9343"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En cuanto al primer predictor del estudiante, el contexto socioeconómico del alumnado tiene un efecto sobre el rendimiento, que coincide con los resultados de otras investigaciones, que destacan el papel del entorno familiar en el desarrollo de habilidades lingüísticas (Liu y Chung, 2022; </w:t>
      </w:r>
      <w:proofErr w:type="spellStart"/>
      <w:r w:rsidRPr="00730378">
        <w:rPr>
          <w:rFonts w:eastAsia="Arial Unicode MS"/>
          <w:bdr w:val="nil"/>
          <w:lang w:eastAsia="es-ES"/>
        </w:rPr>
        <w:t>Yeung</w:t>
      </w:r>
      <w:proofErr w:type="spellEnd"/>
      <w:r w:rsidRPr="00730378">
        <w:rPr>
          <w:rFonts w:eastAsia="Arial Unicode MS"/>
          <w:bdr w:val="nil"/>
          <w:lang w:eastAsia="es-ES"/>
        </w:rPr>
        <w:t xml:space="preserve"> et al., 2022). Por tanto, se trata de un predictor fuerte del rendimiento académico, de acuerdo con otros estudios (Coleman et al., 1966; Park y Holloway, 2017). </w:t>
      </w:r>
    </w:p>
    <w:p w14:paraId="11045AB1"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6F17FA9C"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En lo que concierne al segundo predictor del estudiante, los años escolarizados en educación infantil predicen el rendimiento, de acuerdo con los resultados de otros estudios, que señalan una mayor resiliencia en el aprendizaje como principal causa (Cordero y Mateos-Romero, 2021; </w:t>
      </w:r>
      <w:proofErr w:type="spellStart"/>
      <w:r w:rsidRPr="00730378">
        <w:rPr>
          <w:rFonts w:eastAsia="Arial Unicode MS"/>
          <w:bdr w:val="nil"/>
          <w:lang w:eastAsia="es-ES"/>
        </w:rPr>
        <w:t>Toste</w:t>
      </w:r>
      <w:proofErr w:type="spellEnd"/>
      <w:r w:rsidRPr="00730378">
        <w:rPr>
          <w:rFonts w:eastAsia="Arial Unicode MS"/>
          <w:bdr w:val="nil"/>
          <w:lang w:eastAsia="es-ES"/>
        </w:rPr>
        <w:t xml:space="preserve"> et al., 2020) y subrayan la influencia del conocimiento de los fonemas en esta etapa (Kaminski y Powell-Smith, 2017) y el apoyo que reciben en casa aquellos niños que asistieron a educación infantil en comparación con aquellos que no lo hicieron (</w:t>
      </w:r>
      <w:proofErr w:type="spellStart"/>
      <w:r w:rsidRPr="00730378">
        <w:rPr>
          <w:rFonts w:eastAsia="Arial Unicode MS"/>
          <w:bdr w:val="nil"/>
          <w:lang w:eastAsia="es-ES"/>
        </w:rPr>
        <w:t>Hogrebe</w:t>
      </w:r>
      <w:proofErr w:type="spellEnd"/>
      <w:r w:rsidRPr="00730378">
        <w:rPr>
          <w:rFonts w:eastAsia="Arial Unicode MS"/>
          <w:bdr w:val="nil"/>
          <w:lang w:eastAsia="es-ES"/>
        </w:rPr>
        <w:t xml:space="preserve"> y </w:t>
      </w:r>
      <w:proofErr w:type="spellStart"/>
      <w:r w:rsidRPr="00730378">
        <w:rPr>
          <w:rFonts w:eastAsia="Arial Unicode MS"/>
          <w:bdr w:val="nil"/>
          <w:lang w:eastAsia="es-ES"/>
        </w:rPr>
        <w:t>Strietholt</w:t>
      </w:r>
      <w:proofErr w:type="spellEnd"/>
      <w:r w:rsidRPr="00730378">
        <w:rPr>
          <w:rFonts w:eastAsia="Arial Unicode MS"/>
          <w:bdr w:val="nil"/>
          <w:lang w:eastAsia="es-ES"/>
        </w:rPr>
        <w:t xml:space="preserve">, 2016). </w:t>
      </w:r>
    </w:p>
    <w:p w14:paraId="05F6295D"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4F9D7D78"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Con respecto al tercer predictor del estudiante, la frecuencia con la que el alumnado leyó libros con algún familiar en casa antes de ir al colegio por primera vez predice el rendimiento, lo cual pone de relieve el impacto de la alfabetización temprana en casa en el desarrollo de habilidades lectoras, como el conocimiento de los grafemas </w:t>
      </w:r>
      <w:r w:rsidRPr="00730378">
        <w:rPr>
          <w:rFonts w:eastAsia="Arial Unicode MS"/>
          <w:bdr w:val="nil"/>
          <w:lang w:eastAsia="es-ES"/>
        </w:rPr>
        <w:lastRenderedPageBreak/>
        <w:t xml:space="preserve">(Costa y Araujo, 2018; De la Calle et al., 2021; Saracho, 2017) y la velocidad lectora (De la Calle et al., 2019). </w:t>
      </w:r>
    </w:p>
    <w:p w14:paraId="67E356A2"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177F703A"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En lo tocante al cuarto predictor del estudiante, la seguridad del alumnado en la lectura predice el rendimiento, que coincide con los resultados de otras investigaciones, que muestran una correlación entre la confianza y el desarrollo de habilidades, como la fluidez (</w:t>
      </w:r>
      <w:proofErr w:type="spellStart"/>
      <w:r w:rsidRPr="00730378">
        <w:rPr>
          <w:rFonts w:eastAsia="Arial Unicode MS"/>
          <w:bdr w:val="nil"/>
          <w:lang w:eastAsia="es-ES"/>
        </w:rPr>
        <w:t>Ehm</w:t>
      </w:r>
      <w:proofErr w:type="spellEnd"/>
      <w:r w:rsidRPr="00730378">
        <w:rPr>
          <w:rFonts w:eastAsia="Arial Unicode MS"/>
          <w:bdr w:val="nil"/>
          <w:lang w:eastAsia="es-ES"/>
        </w:rPr>
        <w:t xml:space="preserve"> et al., 2019; Jensen et al., 2019), y el desarrollo de una resiliencia hacia el aprendizaje (García-Crespo et al., 2019; </w:t>
      </w:r>
      <w:proofErr w:type="spellStart"/>
      <w:r w:rsidRPr="00730378">
        <w:rPr>
          <w:rFonts w:eastAsia="Arial Unicode MS"/>
          <w:bdr w:val="nil"/>
          <w:lang w:eastAsia="es-ES"/>
        </w:rPr>
        <w:t>Marôco</w:t>
      </w:r>
      <w:proofErr w:type="spellEnd"/>
      <w:r w:rsidRPr="00730378">
        <w:rPr>
          <w:rFonts w:eastAsia="Arial Unicode MS"/>
          <w:bdr w:val="nil"/>
          <w:lang w:eastAsia="es-ES"/>
        </w:rPr>
        <w:t>, 2021).</w:t>
      </w:r>
    </w:p>
    <w:p w14:paraId="0F011FB7"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392A5D43"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En cuanto al primer predictor escolar, la composición escolar según el entorno del alumnado predice el rendimiento, que coincide con los resultados de otros estudios (Lee et al., 2015; Olsen y Huang, 2022), que demuestran la asociación entre la desigualdad de ingresos familiares y el rendimiento académico, dando lugar a la agrupación de estudiantes en centros situados en contextos desfavorecidos (Owens, 2018; </w:t>
      </w:r>
      <w:proofErr w:type="spellStart"/>
      <w:r w:rsidRPr="00730378">
        <w:rPr>
          <w:rFonts w:eastAsia="Arial Unicode MS"/>
          <w:bdr w:val="nil"/>
          <w:lang w:eastAsia="es-ES"/>
        </w:rPr>
        <w:t>Workman</w:t>
      </w:r>
      <w:proofErr w:type="spellEnd"/>
      <w:r w:rsidRPr="00730378">
        <w:rPr>
          <w:rFonts w:eastAsia="Arial Unicode MS"/>
          <w:bdr w:val="nil"/>
          <w:lang w:eastAsia="es-ES"/>
        </w:rPr>
        <w:t>, 2022).</w:t>
      </w:r>
    </w:p>
    <w:p w14:paraId="2948AC82"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640EB08B"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En lo que concierne al segundo predictor escolar, el porcentaje de estudiantes con habilidades básicas de alfabetización cuando empiezan la educación primaria, los resultados confirman que predice el rendimiento del alumnado, conforme a los resultados de otras investigaciones, que demuestran que las escuelas con altos porcentajes de alumnos con habilidades básicas de alfabetización (</w:t>
      </w:r>
      <w:proofErr w:type="spellStart"/>
      <w:r w:rsidRPr="00730378">
        <w:rPr>
          <w:rFonts w:eastAsia="Arial Unicode MS"/>
          <w:bdr w:val="nil"/>
          <w:lang w:eastAsia="es-ES"/>
        </w:rPr>
        <w:t>Mickelson</w:t>
      </w:r>
      <w:proofErr w:type="spellEnd"/>
      <w:r w:rsidRPr="00730378">
        <w:rPr>
          <w:rFonts w:eastAsia="Arial Unicode MS"/>
          <w:bdr w:val="nil"/>
          <w:lang w:eastAsia="es-ES"/>
        </w:rPr>
        <w:t xml:space="preserve"> et al., 2020; </w:t>
      </w:r>
      <w:proofErr w:type="spellStart"/>
      <w:r w:rsidRPr="00730378">
        <w:rPr>
          <w:rFonts w:eastAsia="Arial Unicode MS"/>
          <w:bdr w:val="nil"/>
          <w:lang w:eastAsia="es-ES"/>
        </w:rPr>
        <w:t>Yarnell</w:t>
      </w:r>
      <w:proofErr w:type="spellEnd"/>
      <w:r w:rsidRPr="00730378">
        <w:rPr>
          <w:rFonts w:eastAsia="Arial Unicode MS"/>
          <w:bdr w:val="nil"/>
          <w:lang w:eastAsia="es-ES"/>
        </w:rPr>
        <w:t xml:space="preserve"> y </w:t>
      </w:r>
      <w:proofErr w:type="spellStart"/>
      <w:r w:rsidRPr="00730378">
        <w:rPr>
          <w:rFonts w:eastAsia="Arial Unicode MS"/>
          <w:bdr w:val="nil"/>
          <w:lang w:eastAsia="es-ES"/>
        </w:rPr>
        <w:t>Bohrnstedt</w:t>
      </w:r>
      <w:proofErr w:type="spellEnd"/>
      <w:r w:rsidRPr="00730378">
        <w:rPr>
          <w:rFonts w:eastAsia="Arial Unicode MS"/>
          <w:bdr w:val="nil"/>
          <w:lang w:eastAsia="es-ES"/>
        </w:rPr>
        <w:t>, 2018) influye sobre el rendimiento del alumnado. Otras investigaciones destacan que la distribución del alumnado entre diferentes escuelas está relacionada con el rendimiento de la clase (</w:t>
      </w:r>
      <w:proofErr w:type="spellStart"/>
      <w:r w:rsidRPr="00730378">
        <w:rPr>
          <w:rFonts w:eastAsia="Arial Unicode MS"/>
          <w:bdr w:val="nil"/>
          <w:lang w:eastAsia="es-ES"/>
        </w:rPr>
        <w:t>Chiu</w:t>
      </w:r>
      <w:proofErr w:type="spellEnd"/>
      <w:r w:rsidRPr="00730378">
        <w:rPr>
          <w:rFonts w:eastAsia="Arial Unicode MS"/>
          <w:bdr w:val="nil"/>
          <w:lang w:eastAsia="es-ES"/>
        </w:rPr>
        <w:t xml:space="preserve"> et al., 2017; </w:t>
      </w:r>
      <w:proofErr w:type="spellStart"/>
      <w:r w:rsidRPr="00730378">
        <w:rPr>
          <w:rFonts w:eastAsia="Arial Unicode MS"/>
          <w:bdr w:val="nil"/>
          <w:lang w:eastAsia="es-ES"/>
        </w:rPr>
        <w:t>Haughbrook</w:t>
      </w:r>
      <w:proofErr w:type="spellEnd"/>
      <w:r w:rsidRPr="00730378">
        <w:rPr>
          <w:rFonts w:eastAsia="Arial Unicode MS"/>
          <w:bdr w:val="nil"/>
          <w:lang w:eastAsia="es-ES"/>
        </w:rPr>
        <w:t xml:space="preserve"> et al., 2017).</w:t>
      </w:r>
    </w:p>
    <w:p w14:paraId="2297C2FA"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331FBBAD"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color w:val="000000"/>
          <w:bdr w:val="nil"/>
          <w:lang w:eastAsia="es-ES"/>
        </w:rPr>
      </w:pPr>
      <w:r w:rsidRPr="00730378">
        <w:rPr>
          <w:rFonts w:eastAsia="Arial Unicode MS"/>
          <w:bdr w:val="nil"/>
          <w:lang w:eastAsia="es-ES"/>
        </w:rPr>
        <w:t xml:space="preserve">En lo que concierne al tercer predictor escolar, el énfasis de la escuela en el éxito académico, los resultados muestran que es el segundo determinante que predice mejor el rendimiento del alumnado, que coincide con otras investigaciones (Li et al., 2023; </w:t>
      </w:r>
      <w:proofErr w:type="spellStart"/>
      <w:r w:rsidRPr="00730378">
        <w:rPr>
          <w:rFonts w:eastAsia="Arial Unicode MS"/>
          <w:bdr w:val="nil"/>
          <w:lang w:eastAsia="es-ES"/>
        </w:rPr>
        <w:t>Lopes</w:t>
      </w:r>
      <w:proofErr w:type="spellEnd"/>
      <w:r w:rsidRPr="00730378">
        <w:rPr>
          <w:rFonts w:eastAsia="Arial Unicode MS"/>
          <w:bdr w:val="nil"/>
          <w:lang w:eastAsia="es-ES"/>
        </w:rPr>
        <w:t xml:space="preserve"> et al., 2022). En este sentido, </w:t>
      </w:r>
      <w:r w:rsidRPr="00730378">
        <w:rPr>
          <w:rFonts w:eastAsia="Arial Unicode MS"/>
          <w:color w:val="000000"/>
          <w:bdr w:val="nil"/>
          <w:lang w:eastAsia="es-ES"/>
        </w:rPr>
        <w:t xml:space="preserve">la participación de las familias en las actividades académicas y la colaboración entre el hogar y la escuela inciden en el rendimiento lector del alumnado (Anthony y Ogg, 2019; Nilsen y </w:t>
      </w:r>
      <w:proofErr w:type="spellStart"/>
      <w:r w:rsidRPr="00730378">
        <w:rPr>
          <w:rFonts w:eastAsia="Arial Unicode MS"/>
          <w:color w:val="000000"/>
          <w:bdr w:val="nil"/>
          <w:lang w:eastAsia="es-ES"/>
        </w:rPr>
        <w:t>Gustafsson</w:t>
      </w:r>
      <w:proofErr w:type="spellEnd"/>
      <w:r w:rsidRPr="00730378">
        <w:rPr>
          <w:rFonts w:eastAsia="Arial Unicode MS"/>
          <w:color w:val="000000"/>
          <w:bdr w:val="nil"/>
          <w:lang w:eastAsia="es-ES"/>
        </w:rPr>
        <w:t>, 2014).</w:t>
      </w:r>
    </w:p>
    <w:p w14:paraId="636FA0EE"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4C7DB66F"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color w:val="000000"/>
          <w:bdr w:val="nil"/>
          <w:lang w:eastAsia="es-ES"/>
        </w:rPr>
      </w:pPr>
      <w:r w:rsidRPr="00730378">
        <w:rPr>
          <w:rFonts w:eastAsia="Arial Unicode MS"/>
          <w:bdr w:val="nil"/>
          <w:lang w:eastAsia="es-ES"/>
        </w:rPr>
        <w:t>Con respecto al cuarto predictor escolar, el tiempo de enseñanza, los resultados muestran que no predice el rendimiento lector del alumnado, de acuerdo con los resultados de otras investigaciones (</w:t>
      </w:r>
      <w:proofErr w:type="spellStart"/>
      <w:r w:rsidRPr="00730378">
        <w:rPr>
          <w:rFonts w:eastAsia="Arial Unicode MS"/>
          <w:bdr w:val="nil"/>
          <w:lang w:eastAsia="es-ES"/>
        </w:rPr>
        <w:t>Brill</w:t>
      </w:r>
      <w:proofErr w:type="spellEnd"/>
      <w:r w:rsidRPr="00730378">
        <w:rPr>
          <w:rFonts w:eastAsia="Arial Unicode MS"/>
          <w:bdr w:val="nil"/>
          <w:lang w:eastAsia="es-ES"/>
        </w:rPr>
        <w:t xml:space="preserve"> y Wang, 2021; </w:t>
      </w:r>
      <w:proofErr w:type="spellStart"/>
      <w:r w:rsidRPr="00730378">
        <w:rPr>
          <w:rFonts w:eastAsia="Arial Unicode MS"/>
          <w:bdr w:val="nil"/>
          <w:lang w:eastAsia="es-ES"/>
        </w:rPr>
        <w:t>Lavy</w:t>
      </w:r>
      <w:proofErr w:type="spellEnd"/>
      <w:r w:rsidRPr="00730378">
        <w:rPr>
          <w:rFonts w:eastAsia="Arial Unicode MS"/>
          <w:bdr w:val="nil"/>
          <w:lang w:eastAsia="es-ES"/>
        </w:rPr>
        <w:t xml:space="preserve">, 2020), que demuestran que alargar la jornada escolar no conduce a una mejora del rendimiento académico.  Asimismo,  </w:t>
      </w:r>
      <w:r w:rsidRPr="00730378">
        <w:rPr>
          <w:rFonts w:eastAsia="Arial Unicode MS"/>
          <w:color w:val="000000"/>
          <w:bdr w:val="nil"/>
          <w:lang w:eastAsia="es-ES"/>
        </w:rPr>
        <w:t>los resultados contradicen las conclusiones de otras investigaciones (</w:t>
      </w:r>
      <w:proofErr w:type="spellStart"/>
      <w:r w:rsidRPr="00730378">
        <w:rPr>
          <w:rFonts w:eastAsia="Arial Unicode MS"/>
          <w:color w:val="000000"/>
          <w:bdr w:val="nil"/>
          <w:lang w:eastAsia="es-ES"/>
        </w:rPr>
        <w:t>Figlio</w:t>
      </w:r>
      <w:proofErr w:type="spellEnd"/>
      <w:r w:rsidRPr="00730378">
        <w:rPr>
          <w:rFonts w:eastAsia="Arial Unicode MS"/>
          <w:color w:val="000000"/>
          <w:bdr w:val="nil"/>
          <w:lang w:eastAsia="es-ES"/>
        </w:rPr>
        <w:t xml:space="preserve"> et al., 2018; Thompson, 2021), que demuestran un aumento leve, pero significativo, en el rendimiento. </w:t>
      </w:r>
    </w:p>
    <w:p w14:paraId="0DCC905A"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7BCA7FDE"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En términos generales, los resultados muestran que las variables del estudiante predicen mejor el rendimiento en lectura que las variables de la escuela (</w:t>
      </w:r>
      <w:proofErr w:type="spellStart"/>
      <w:r w:rsidRPr="00730378">
        <w:rPr>
          <w:rFonts w:eastAsia="Arial Unicode MS"/>
          <w:bdr w:val="nil"/>
          <w:lang w:eastAsia="es-ES"/>
        </w:rPr>
        <w:t>Lopes</w:t>
      </w:r>
      <w:proofErr w:type="spellEnd"/>
      <w:r w:rsidRPr="00730378">
        <w:rPr>
          <w:rFonts w:eastAsia="Arial Unicode MS"/>
          <w:bdr w:val="nil"/>
          <w:lang w:eastAsia="es-ES"/>
        </w:rPr>
        <w:t xml:space="preserve"> et al., 2022). </w:t>
      </w:r>
      <w:r w:rsidRPr="00730378">
        <w:rPr>
          <w:rFonts w:eastAsia="Arial Unicode MS"/>
          <w:bdr w:val="nil"/>
          <w:lang w:eastAsia="es-ES"/>
        </w:rPr>
        <w:t>El contexto socioeconómico del alumnado y los años escolarizados en educación infantil son los predictores del estudiante que más contribuyen respectivamente a la varianza del rendimiento. En cuanto a los predictores escolares, la composición del centro y el énfasis escolar en el éxito académico son las variables que predicen mejor el rendimiento lector del alumnado.</w:t>
      </w:r>
    </w:p>
    <w:p w14:paraId="22986A2D"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4C2E0402"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En este trabajo se llegan a una serie de conclusiones relevantes para la práctica educativa. En primer lugar, una vez controlada la variable socioeconómica del estudiante (el contexto), la escolarización en educación infantil predice el rendimiento lector del alumnado, que pone de relieve la importancia de esta etapa en el aprendizaje de conceptos y habilidades fundamentales para crear la base de un aprendizaje permanente. </w:t>
      </w:r>
    </w:p>
    <w:p w14:paraId="1C5C9B64"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En segundo lugar, la alfabetización temprana en casa antes de empezar la educación primaria también desempeña un papel esencial en el rendimiento lector del alumnado, que destaca tanto los recursos disponibles en el hogar como su utilización en la realización de actividades literarias en el entorno familiar. En tercer lugar, el énfasis escolar en el éxito académico tiene un gran impacto sobre el logro en la lectura, que sugiere la necesidad de reforzar la colaboración entre la familia y la escuela en el desarrollo de actividades literarias. Este aspecto incide en la didáctica de la Lengua en Educación Primaria, en tanto que pone de relieve la necesidad de promover el placer por la lectura, desde los primeros cursos, a partir de los gustos literarios del alumnado. </w:t>
      </w:r>
    </w:p>
    <w:p w14:paraId="27C21CED"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Las fortalezas de esta investigación estriban en tres aspectos. En primer lugar, es la primera investigación con los datos de PIRLS realizado tras la pandemia, que permite realizar estudios comparativos entre las variables analizadas en la edición de 2021 y las anteriores. En segundo lugar, es el primer estudio realizado en España, a partir de la base del estudio PIRLS, que demuestra que las variables asociadas a los estudiantes predicen mejor el rendimiento que las variables escolares. En tercer lugar, proporciona información sobre los factores que más influyen en el rendimiento lector, lo cual favorece la adopción de políticas y la toma de decisiones curriculares más precisas a nivel nacional. En este sentido, es preciso abogar por políticas educativas que refuercen el fomento de la lectura desde Educación Infantil, mediante la creación de bibliotecas y plataformas digitales en los centros con recursos en diferentes formatos.</w:t>
      </w:r>
    </w:p>
    <w:p w14:paraId="5CDC8284"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La principal limitación de las grandes evaluaciones internacionales reside en que la muestra de los centros no es representativa de todas las CC.AA, ni la base de datos incluye tal variable para realizar un modelo jerárquico lineal de 3 niveles. </w:t>
      </w:r>
    </w:p>
    <w:p w14:paraId="1287FAAA"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p>
    <w:p w14:paraId="05A81724" w14:textId="77777777" w:rsidR="008D4F67" w:rsidRPr="00730378" w:rsidRDefault="008D4F67" w:rsidP="008D4F67">
      <w:pPr>
        <w:pBdr>
          <w:top w:val="nil"/>
          <w:left w:val="nil"/>
          <w:bottom w:val="nil"/>
          <w:right w:val="nil"/>
          <w:between w:val="nil"/>
          <w:bar w:val="nil"/>
        </w:pBdr>
        <w:spacing w:line="240" w:lineRule="auto"/>
        <w:contextualSpacing/>
        <w:rPr>
          <w:rFonts w:eastAsia="Arial Unicode MS"/>
          <w:bdr w:val="nil"/>
          <w:lang w:eastAsia="es-ES"/>
        </w:rPr>
      </w:pPr>
      <w:r w:rsidRPr="00730378">
        <w:rPr>
          <w:rFonts w:eastAsia="Arial Unicode MS"/>
          <w:bdr w:val="nil"/>
          <w:lang w:eastAsia="es-ES"/>
        </w:rPr>
        <w:t xml:space="preserve">En conclusión, esta investigación demuestra que las variables del alumnado de 4º de Educación Primaria predicen mejor el rendimiento lector que las variables escolares en la edición de PIRLS 2021 en España, lo cual </w:t>
      </w:r>
      <w:r w:rsidRPr="00730378">
        <w:rPr>
          <w:rFonts w:eastAsia="Arial Unicode MS"/>
          <w:bdr w:val="nil"/>
          <w:lang w:eastAsia="es-ES"/>
        </w:rPr>
        <w:lastRenderedPageBreak/>
        <w:t xml:space="preserve">contribuye a reducir el fracaso escolar en etapas posteriores. </w:t>
      </w:r>
    </w:p>
    <w:p w14:paraId="1C8C6937" w14:textId="77777777" w:rsidR="008D4F67" w:rsidRPr="00730378" w:rsidRDefault="008D4F67" w:rsidP="008D4F67">
      <w:pPr>
        <w:pBdr>
          <w:top w:val="nil"/>
          <w:left w:val="nil"/>
          <w:bottom w:val="nil"/>
          <w:right w:val="nil"/>
          <w:between w:val="nil"/>
          <w:bar w:val="nil"/>
        </w:pBdr>
        <w:contextualSpacing/>
        <w:rPr>
          <w:rFonts w:eastAsia="Arial Unicode MS"/>
          <w:bdr w:val="nil"/>
          <w:lang w:eastAsia="es-ES"/>
        </w:rPr>
      </w:pPr>
    </w:p>
    <w:p w14:paraId="51AD321B" w14:textId="77777777" w:rsidR="008D4F67" w:rsidRPr="00730378" w:rsidRDefault="008D4F67" w:rsidP="008D4F67">
      <w:pPr>
        <w:pBdr>
          <w:top w:val="nil"/>
          <w:left w:val="nil"/>
          <w:bottom w:val="nil"/>
          <w:right w:val="nil"/>
          <w:between w:val="nil"/>
          <w:bar w:val="nil"/>
        </w:pBdr>
        <w:contextualSpacing/>
        <w:rPr>
          <w:rFonts w:eastAsia="Arial Unicode MS"/>
          <w:bdr w:val="nil"/>
          <w:lang w:eastAsia="es-ES"/>
        </w:rPr>
      </w:pPr>
    </w:p>
    <w:p w14:paraId="4160AF3F" w14:textId="77777777" w:rsidR="00B0425E" w:rsidRDefault="00B0425E"/>
    <w:p w14:paraId="2FF8904D" w14:textId="77777777" w:rsidR="0091024B" w:rsidRDefault="0091024B"/>
    <w:p w14:paraId="2EA8DEEF" w14:textId="77777777" w:rsidR="0091024B" w:rsidRDefault="0091024B"/>
    <w:p w14:paraId="232AF6D9" w14:textId="77777777" w:rsidR="0091024B" w:rsidRDefault="0091024B"/>
    <w:p w14:paraId="139033F0" w14:textId="77777777" w:rsidR="0091024B" w:rsidRDefault="0091024B"/>
    <w:p w14:paraId="1479123A" w14:textId="77777777" w:rsidR="0091024B" w:rsidRDefault="0091024B"/>
    <w:p w14:paraId="01210DA8" w14:textId="77777777" w:rsidR="0091024B" w:rsidRDefault="0091024B"/>
    <w:p w14:paraId="14FC52E7" w14:textId="77777777" w:rsidR="0091024B" w:rsidRDefault="0091024B"/>
    <w:p w14:paraId="70FBCEBE" w14:textId="77777777" w:rsidR="0091024B" w:rsidRDefault="0091024B"/>
    <w:p w14:paraId="6CB11ACD" w14:textId="77777777" w:rsidR="0091024B" w:rsidRDefault="0091024B"/>
    <w:p w14:paraId="73F9E7A1" w14:textId="77777777" w:rsidR="0091024B" w:rsidRDefault="0091024B"/>
    <w:p w14:paraId="618CFDFA" w14:textId="77777777" w:rsidR="0091024B" w:rsidRDefault="0091024B"/>
    <w:p w14:paraId="660AF717" w14:textId="77777777" w:rsidR="0091024B" w:rsidRDefault="0091024B"/>
    <w:p w14:paraId="5E3B786F" w14:textId="77777777" w:rsidR="0091024B" w:rsidRDefault="0091024B"/>
    <w:p w14:paraId="352FD27D" w14:textId="77777777" w:rsidR="00B0425E" w:rsidRDefault="00B0425E"/>
    <w:p w14:paraId="02254F1E" w14:textId="77777777" w:rsidR="00463A8A" w:rsidRDefault="00463A8A"/>
    <w:p w14:paraId="26BE0412" w14:textId="77777777" w:rsidR="00463A8A" w:rsidRDefault="00463A8A"/>
    <w:p w14:paraId="06AACDA5" w14:textId="77777777" w:rsidR="00B0425E" w:rsidRDefault="00B0425E"/>
    <w:tbl>
      <w:tblPr>
        <w:tblStyle w:val="a0"/>
        <w:tblW w:w="41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8"/>
      </w:tblGrid>
      <w:tr w:rsidR="00B0425E" w14:paraId="4EECE1D1" w14:textId="77777777">
        <w:trPr>
          <w:trHeight w:val="308"/>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619FEA50"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40" w:lineRule="auto"/>
              <w:jc w:val="center"/>
              <w:rPr>
                <w:rFonts w:ascii="Cutive" w:eastAsia="Cutive" w:hAnsi="Cutive" w:cs="Cutive"/>
                <w:b/>
                <w:color w:val="7030A0"/>
                <w:sz w:val="26"/>
                <w:szCs w:val="26"/>
              </w:rPr>
            </w:pPr>
            <w:r>
              <w:rPr>
                <w:rFonts w:ascii="Cutive" w:eastAsia="Cutive" w:hAnsi="Cutive" w:cs="Cutive"/>
                <w:b/>
                <w:color w:val="7030A0"/>
                <w:sz w:val="26"/>
                <w:szCs w:val="26"/>
              </w:rPr>
              <w:t xml:space="preserve">Investigaciones Sobre Lectura (ISL) | 2021 </w:t>
            </w:r>
          </w:p>
        </w:tc>
      </w:tr>
      <w:tr w:rsidR="00B0425E" w14:paraId="71E6720A" w14:textId="77777777">
        <w:trPr>
          <w:trHeight w:val="530"/>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709FF833"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40" w:lineRule="auto"/>
              <w:rPr>
                <w:rFonts w:ascii="Gill Sans" w:eastAsia="Gill Sans" w:hAnsi="Gill Sans" w:cs="Gill Sans"/>
                <w:color w:val="232323"/>
                <w:sz w:val="18"/>
                <w:szCs w:val="18"/>
              </w:rPr>
            </w:pPr>
            <w:r>
              <w:rPr>
                <w:b/>
                <w:color w:val="7030A0"/>
              </w:rPr>
              <w:t xml:space="preserve">Contribución de los autores: </w:t>
            </w:r>
          </w:p>
          <w:p w14:paraId="44019E3C" w14:textId="12DF1DA8"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rPr>
                <w:b/>
              </w:rPr>
              <w:t xml:space="preserve">Conceptualización </w:t>
            </w:r>
            <w:r>
              <w:t xml:space="preserve">(idea): </w:t>
            </w:r>
            <w:r w:rsidR="00463A8A">
              <w:t>PJOR;</w:t>
            </w:r>
            <w:r>
              <w:t xml:space="preserve"> </w:t>
            </w:r>
          </w:p>
          <w:p w14:paraId="0D20383F" w14:textId="56319572"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rPr>
                <w:b/>
              </w:rPr>
              <w:t>Redacción</w:t>
            </w:r>
            <w:r>
              <w:t xml:space="preserve">: </w:t>
            </w:r>
            <w:r w:rsidR="00463A8A">
              <w:t>PJOR</w:t>
            </w:r>
            <w:r>
              <w:t xml:space="preserve">; </w:t>
            </w:r>
          </w:p>
          <w:p w14:paraId="281A7133" w14:textId="3FACC325"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rPr>
                <w:b/>
              </w:rPr>
              <w:t>Metodología</w:t>
            </w:r>
            <w:r>
              <w:t xml:space="preserve">: </w:t>
            </w:r>
            <w:r w:rsidR="00463A8A">
              <w:t>PJOR</w:t>
            </w:r>
            <w:r>
              <w:t xml:space="preserve">; </w:t>
            </w:r>
          </w:p>
          <w:p w14:paraId="197580BB" w14:textId="21F1188B"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rPr>
                <w:b/>
              </w:rPr>
              <w:t>Análisis</w:t>
            </w:r>
            <w:r>
              <w:t xml:space="preserve">: </w:t>
            </w:r>
            <w:r w:rsidR="00463A8A">
              <w:t>PJOR</w:t>
            </w:r>
            <w:r>
              <w:t xml:space="preserve">;  </w:t>
            </w:r>
          </w:p>
          <w:p w14:paraId="4BD8392F" w14:textId="0A8ADA72"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rPr>
                <w:b/>
              </w:rPr>
              <w:t>Discusión y conclusión</w:t>
            </w:r>
            <w:r>
              <w:t xml:space="preserve">: </w:t>
            </w:r>
            <w:r w:rsidR="00463A8A">
              <w:t>PJOR</w:t>
            </w:r>
            <w:r>
              <w:t xml:space="preserve">; </w:t>
            </w:r>
          </w:p>
          <w:p w14:paraId="4116A334" w14:textId="14BB512A"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rPr>
                <w:b/>
              </w:rPr>
              <w:t>Revisión</w:t>
            </w:r>
            <w:r>
              <w:t xml:space="preserve">:  </w:t>
            </w:r>
            <w:r w:rsidR="00463A8A">
              <w:t>PJOR</w:t>
            </w:r>
            <w:r>
              <w:t xml:space="preserve">. </w:t>
            </w:r>
          </w:p>
          <w:p w14:paraId="1C7FE7A5"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r>
              <w:t xml:space="preserve">Todos los autores han leído y aceptado la versión publicada del manuscrito. </w:t>
            </w:r>
          </w:p>
        </w:tc>
      </w:tr>
      <w:tr w:rsidR="00B0425E" w14:paraId="33DD6E7E" w14:textId="77777777">
        <w:trPr>
          <w:trHeight w:val="586"/>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30B1E651" w14:textId="7EC78D9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40" w:lineRule="auto"/>
              <w:rPr>
                <w:color w:val="232323"/>
              </w:rPr>
            </w:pPr>
            <w:r>
              <w:rPr>
                <w:b/>
                <w:color w:val="7030A0"/>
              </w:rPr>
              <w:t xml:space="preserve">Fondos: </w:t>
            </w:r>
            <w:r w:rsidR="00463A8A">
              <w:rPr>
                <w:color w:val="000000"/>
              </w:rPr>
              <w:t xml:space="preserve">Este trabajo no ha recibido financiación alguna. </w:t>
            </w:r>
          </w:p>
        </w:tc>
      </w:tr>
      <w:tr w:rsidR="00B0425E" w14:paraId="70B5433F" w14:textId="77777777">
        <w:trPr>
          <w:trHeight w:val="638"/>
        </w:trPr>
        <w:tc>
          <w:tcPr>
            <w:tcW w:w="4138" w:type="dxa"/>
            <w:tcBorders>
              <w:top w:val="single" w:sz="4" w:space="0" w:color="6C2085"/>
              <w:left w:val="single" w:sz="4" w:space="0" w:color="6C2085"/>
              <w:bottom w:val="single" w:sz="4" w:space="0" w:color="6C2085"/>
              <w:right w:val="single" w:sz="4" w:space="0" w:color="6C2085"/>
            </w:tcBorders>
            <w:shd w:val="clear" w:color="auto" w:fill="FFFFFF"/>
          </w:tcPr>
          <w:p w14:paraId="50E4B309" w14:textId="4E868921"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color w:val="232323"/>
              </w:rPr>
            </w:pPr>
            <w:r>
              <w:rPr>
                <w:b/>
                <w:color w:val="7030A0"/>
              </w:rPr>
              <w:t>Agradecimientos:</w:t>
            </w:r>
            <w:r>
              <w:rPr>
                <w:color w:val="232323"/>
              </w:rPr>
              <w:t xml:space="preserve"> </w:t>
            </w:r>
            <w:r w:rsidR="00463A8A">
              <w:rPr>
                <w:color w:val="232323"/>
              </w:rPr>
              <w:t>N</w:t>
            </w:r>
            <w:r w:rsidR="004F12C4">
              <w:rPr>
                <w:color w:val="232323"/>
              </w:rPr>
              <w:t>A</w:t>
            </w:r>
          </w:p>
        </w:tc>
      </w:tr>
    </w:tbl>
    <w:p w14:paraId="74E1C610" w14:textId="77777777" w:rsidR="00B0425E" w:rsidRDefault="00B0425E"/>
    <w:p w14:paraId="14784F86" w14:textId="77777777" w:rsidR="00B0425E"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800"/>
        <w:rPr>
          <w:rFonts w:ascii="Georgia" w:eastAsia="Georgia" w:hAnsi="Georgia" w:cs="Georgia"/>
          <w:b/>
          <w:color w:val="7A1C61"/>
          <w:sz w:val="26"/>
          <w:szCs w:val="26"/>
        </w:rPr>
      </w:pPr>
      <w:r>
        <w:rPr>
          <w:rFonts w:ascii="Georgia" w:eastAsia="Georgia" w:hAnsi="Georgia" w:cs="Georgia"/>
          <w:b/>
          <w:color w:val="7A1C61"/>
          <w:sz w:val="26"/>
          <w:szCs w:val="26"/>
        </w:rPr>
        <w:t>REFERENCIAS</w:t>
      </w:r>
    </w:p>
    <w:p w14:paraId="5D54325F"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shd w:val="clear" w:color="auto" w:fill="FFFFFF"/>
          <w:lang w:eastAsia="es-ES"/>
        </w:rPr>
      </w:pPr>
      <w:r w:rsidRPr="00395962">
        <w:rPr>
          <w:rFonts w:eastAsia="Arial Unicode MS"/>
          <w:color w:val="000000"/>
          <w:bdr w:val="nil"/>
          <w:shd w:val="clear" w:color="auto" w:fill="FFFFFF"/>
          <w:lang w:eastAsia="es-ES"/>
        </w:rPr>
        <w:t xml:space="preserve">Anthony, C. J. y Ogg, J. (2019). </w:t>
      </w:r>
      <w:proofErr w:type="spellStart"/>
      <w:r w:rsidRPr="00395962">
        <w:rPr>
          <w:rFonts w:eastAsia="Arial Unicode MS"/>
          <w:color w:val="000000"/>
          <w:bdr w:val="nil"/>
          <w:shd w:val="clear" w:color="auto" w:fill="FFFFFF"/>
          <w:lang w:eastAsia="es-ES"/>
        </w:rPr>
        <w:t>Parent</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involvement</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approaches</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to</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learning</w:t>
      </w:r>
      <w:proofErr w:type="spellEnd"/>
      <w:r w:rsidRPr="00395962">
        <w:rPr>
          <w:rFonts w:eastAsia="Arial Unicode MS"/>
          <w:color w:val="000000"/>
          <w:bdr w:val="nil"/>
          <w:shd w:val="clear" w:color="auto" w:fill="FFFFFF"/>
          <w:lang w:eastAsia="es-ES"/>
        </w:rPr>
        <w:t xml:space="preserve">, and </w:t>
      </w:r>
      <w:proofErr w:type="spellStart"/>
      <w:r w:rsidRPr="00395962">
        <w:rPr>
          <w:rFonts w:eastAsia="Arial Unicode MS"/>
          <w:color w:val="000000"/>
          <w:bdr w:val="nil"/>
          <w:shd w:val="clear" w:color="auto" w:fill="FFFFFF"/>
          <w:lang w:eastAsia="es-ES"/>
        </w:rPr>
        <w:t>student</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achievement</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Examining</w:t>
      </w:r>
      <w:proofErr w:type="spellEnd"/>
      <w:r w:rsidRPr="00395962">
        <w:rPr>
          <w:rFonts w:eastAsia="Arial Unicode MS"/>
          <w:color w:val="000000"/>
          <w:bdr w:val="nil"/>
          <w:shd w:val="clear" w:color="auto" w:fill="FFFFFF"/>
          <w:lang w:eastAsia="es-ES"/>
        </w:rPr>
        <w:t xml:space="preserve"> longitudinal </w:t>
      </w:r>
      <w:proofErr w:type="spellStart"/>
      <w:r w:rsidRPr="00395962">
        <w:rPr>
          <w:rFonts w:eastAsia="Arial Unicode MS"/>
          <w:color w:val="000000"/>
          <w:bdr w:val="nil"/>
          <w:shd w:val="clear" w:color="auto" w:fill="FFFFFF"/>
          <w:lang w:eastAsia="es-ES"/>
        </w:rPr>
        <w:t>mediation</w:t>
      </w:r>
      <w:proofErr w:type="spellEnd"/>
      <w:r w:rsidRPr="00395962">
        <w:rPr>
          <w:rFonts w:eastAsia="Arial Unicode MS"/>
          <w:color w:val="000000"/>
          <w:bdr w:val="nil"/>
          <w:shd w:val="clear" w:color="auto" w:fill="FFFFFF"/>
          <w:lang w:eastAsia="es-ES"/>
        </w:rPr>
        <w:t>.  </w:t>
      </w:r>
      <w:r w:rsidRPr="00395962">
        <w:rPr>
          <w:rFonts w:eastAsia="Arial Unicode MS"/>
          <w:i/>
          <w:iCs/>
          <w:color w:val="000000"/>
          <w:bdr w:val="nil"/>
          <w:lang w:val="en-US" w:eastAsia="es-ES"/>
        </w:rPr>
        <w:t>School Psychology, 34</w:t>
      </w:r>
      <w:r w:rsidRPr="00395962">
        <w:rPr>
          <w:rFonts w:eastAsia="Arial Unicode MS"/>
          <w:color w:val="000000"/>
          <w:bdr w:val="nil"/>
          <w:shd w:val="clear" w:color="auto" w:fill="FFFFFF"/>
          <w:lang w:val="en-US" w:eastAsia="es-ES"/>
        </w:rPr>
        <w:t>(4), 376</w:t>
      </w:r>
      <w:r w:rsidRPr="00395962">
        <w:rPr>
          <w:rFonts w:eastAsia="Arial Unicode MS"/>
          <w:bdr w:val="nil"/>
          <w:lang w:eastAsia="es-ES"/>
        </w:rPr>
        <w:t>–</w:t>
      </w:r>
      <w:r w:rsidRPr="00395962">
        <w:rPr>
          <w:rFonts w:eastAsia="Arial Unicode MS"/>
          <w:color w:val="000000"/>
          <w:bdr w:val="nil"/>
          <w:shd w:val="clear" w:color="auto" w:fill="FFFFFF"/>
          <w:lang w:val="en-US" w:eastAsia="es-ES"/>
        </w:rPr>
        <w:t>385. </w:t>
      </w:r>
      <w:hyperlink r:id="rId32" w:tgtFrame="_blank" w:history="1">
        <w:r w:rsidRPr="00395962">
          <w:rPr>
            <w:rFonts w:eastAsia="Arial Unicode MS"/>
            <w:color w:val="000000"/>
            <w:bdr w:val="nil"/>
            <w:lang w:val="en-US" w:eastAsia="es-ES"/>
          </w:rPr>
          <w:t>https://doi.org/10.1037/spq0000282</w:t>
        </w:r>
      </w:hyperlink>
      <w:r w:rsidRPr="00395962">
        <w:rPr>
          <w:rFonts w:eastAsia="Arial Unicode MS"/>
          <w:color w:val="000000"/>
          <w:bdr w:val="nil"/>
          <w:lang w:val="en-US" w:eastAsia="es-ES"/>
        </w:rPr>
        <w:t xml:space="preserve">  </w:t>
      </w:r>
    </w:p>
    <w:p w14:paraId="021D4B72" w14:textId="77777777" w:rsidR="00C00B69" w:rsidRPr="00395962" w:rsidRDefault="00C00B69" w:rsidP="00C00B69">
      <w:pPr>
        <w:pBdr>
          <w:top w:val="nil"/>
          <w:left w:val="nil"/>
          <w:bottom w:val="nil"/>
          <w:right w:val="nil"/>
          <w:between w:val="nil"/>
          <w:bar w:val="nil"/>
        </w:pBdr>
        <w:autoSpaceDE w:val="0"/>
        <w:autoSpaceDN w:val="0"/>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lang w:val="en-US" w:eastAsia="es-ES"/>
        </w:rPr>
        <w:t xml:space="preserve">Brill, L. C. y Wang, L. M. (2021). </w:t>
      </w:r>
      <w:proofErr w:type="spellStart"/>
      <w:r w:rsidRPr="00395962">
        <w:rPr>
          <w:rFonts w:eastAsia="Arial Unicode MS"/>
          <w:color w:val="000000"/>
          <w:bdr w:val="nil"/>
          <w:lang w:eastAsia="es-ES"/>
        </w:rPr>
        <w:t>Higher</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sound</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levels</w:t>
      </w:r>
      <w:proofErr w:type="spellEnd"/>
      <w:r w:rsidRPr="00395962">
        <w:rPr>
          <w:rFonts w:eastAsia="Arial Unicode MS"/>
          <w:color w:val="000000"/>
          <w:bdr w:val="nil"/>
          <w:lang w:eastAsia="es-ES"/>
        </w:rPr>
        <w:t xml:space="preserve"> in K-12 </w:t>
      </w:r>
      <w:proofErr w:type="spellStart"/>
      <w:r w:rsidRPr="00395962">
        <w:rPr>
          <w:rFonts w:eastAsia="Arial Unicode MS"/>
          <w:color w:val="000000"/>
          <w:bdr w:val="nil"/>
          <w:lang w:eastAsia="es-ES"/>
        </w:rPr>
        <w:t>classrooms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correlate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to</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lower</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math</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scores. </w:t>
      </w:r>
      <w:r w:rsidRPr="00395962">
        <w:rPr>
          <w:rFonts w:eastAsia="Arial Unicode MS"/>
          <w:i/>
          <w:iCs/>
          <w:color w:val="000000"/>
          <w:bdr w:val="nil"/>
          <w:lang w:val="en-US" w:eastAsia="es-ES"/>
        </w:rPr>
        <w:t>Frontiers in Built Environment, 7</w:t>
      </w:r>
      <w:r w:rsidRPr="00395962">
        <w:rPr>
          <w:rFonts w:eastAsia="Arial Unicode MS"/>
          <w:color w:val="000000"/>
          <w:bdr w:val="nil"/>
          <w:lang w:val="en-US" w:eastAsia="es-ES"/>
        </w:rPr>
        <w:t>(688395), 1</w:t>
      </w:r>
      <w:r w:rsidRPr="00395962">
        <w:rPr>
          <w:rFonts w:eastAsia="Arial Unicode MS"/>
          <w:bdr w:val="nil"/>
          <w:lang w:eastAsia="es-ES"/>
        </w:rPr>
        <w:t>–</w:t>
      </w:r>
      <w:r w:rsidRPr="00395962">
        <w:rPr>
          <w:rFonts w:eastAsia="Arial Unicode MS"/>
          <w:color w:val="000000"/>
          <w:bdr w:val="nil"/>
          <w:lang w:val="en-US" w:eastAsia="es-ES"/>
        </w:rPr>
        <w:t xml:space="preserve">12. </w:t>
      </w:r>
      <w:hyperlink r:id="rId33" w:history="1">
        <w:r w:rsidRPr="00395962">
          <w:rPr>
            <w:rFonts w:eastAsia="Arial Unicode MS"/>
            <w:color w:val="000000"/>
            <w:bdr w:val="nil"/>
            <w:lang w:val="en-US" w:eastAsia="es-ES"/>
          </w:rPr>
          <w:t>https://doi.org/10.3389/fbuil.2021.688395</w:t>
        </w:r>
      </w:hyperlink>
      <w:r w:rsidRPr="00395962">
        <w:rPr>
          <w:rFonts w:eastAsia="Arial Unicode MS"/>
          <w:color w:val="000000"/>
          <w:bdr w:val="nil"/>
          <w:lang w:val="en-US" w:eastAsia="es-ES"/>
        </w:rPr>
        <w:t xml:space="preserve"> </w:t>
      </w:r>
    </w:p>
    <w:p w14:paraId="38E3FB3A"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shd w:val="clear" w:color="auto" w:fill="FFFFFF"/>
          <w:lang w:val="en-US" w:eastAsia="es-ES"/>
        </w:rPr>
      </w:pPr>
      <w:r w:rsidRPr="00395962">
        <w:rPr>
          <w:rFonts w:eastAsia="Arial Unicode MS"/>
          <w:color w:val="000000"/>
          <w:bdr w:val="nil"/>
          <w:shd w:val="clear" w:color="auto" w:fill="FFFFFF"/>
          <w:lang w:val="en-US" w:eastAsia="es-ES"/>
        </w:rPr>
        <w:t>Chiu, M. M., Chow, B. W.Y. y Joh, S. W. (2017). Streaming, tracking and reading achievement: A multilevel analysis of students in 40 countries. </w:t>
      </w:r>
      <w:r w:rsidRPr="00395962">
        <w:rPr>
          <w:rFonts w:eastAsia="Arial Unicode MS"/>
          <w:i/>
          <w:iCs/>
          <w:color w:val="000000"/>
          <w:bdr w:val="nil"/>
          <w:lang w:val="en-US" w:eastAsia="es-ES"/>
        </w:rPr>
        <w:t>Journal of Educational Psychology, 109</w:t>
      </w:r>
      <w:r w:rsidRPr="00395962">
        <w:rPr>
          <w:rFonts w:eastAsia="Arial Unicode MS"/>
          <w:color w:val="000000"/>
          <w:bdr w:val="nil"/>
          <w:shd w:val="clear" w:color="auto" w:fill="FFFFFF"/>
          <w:lang w:val="en-US" w:eastAsia="es-ES"/>
        </w:rPr>
        <w:t>(7), 915</w:t>
      </w:r>
      <w:r w:rsidRPr="00395962">
        <w:rPr>
          <w:rFonts w:eastAsia="Arial Unicode MS"/>
          <w:bdr w:val="nil"/>
          <w:lang w:eastAsia="es-ES"/>
        </w:rPr>
        <w:t>–</w:t>
      </w:r>
      <w:r w:rsidRPr="00395962">
        <w:rPr>
          <w:rFonts w:eastAsia="Arial Unicode MS"/>
          <w:color w:val="000000"/>
          <w:bdr w:val="nil"/>
          <w:shd w:val="clear" w:color="auto" w:fill="FFFFFF"/>
          <w:lang w:val="en-US" w:eastAsia="es-ES"/>
        </w:rPr>
        <w:t>934. </w:t>
      </w:r>
      <w:hyperlink r:id="rId34" w:tgtFrame="_blank" w:history="1">
        <w:r w:rsidRPr="00395962">
          <w:rPr>
            <w:rFonts w:eastAsia="Arial Unicode MS"/>
            <w:color w:val="000000"/>
            <w:bdr w:val="nil"/>
            <w:lang w:val="en-US" w:eastAsia="es-ES"/>
          </w:rPr>
          <w:t>https://doi.org/10.1037/edu0000188</w:t>
        </w:r>
      </w:hyperlink>
    </w:p>
    <w:p w14:paraId="1D29BD5C"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shd w:val="clear" w:color="auto" w:fill="FCFCFC"/>
          <w:lang w:val="en-US" w:eastAsia="es-ES"/>
        </w:rPr>
        <w:t>Coleman, J. S., Campbell, E. Q., Hobson, C. J., McPartland, J., Mood, A. M., Weinfeld, F. D. y York. R.L. (1966). </w:t>
      </w:r>
      <w:r w:rsidRPr="00395962">
        <w:rPr>
          <w:rFonts w:eastAsia="Arial Unicode MS"/>
          <w:i/>
          <w:iCs/>
          <w:color w:val="000000"/>
          <w:bdr w:val="nil"/>
          <w:lang w:val="en-US" w:eastAsia="es-ES"/>
        </w:rPr>
        <w:t>Equality of Educational Opportunity</w:t>
      </w:r>
      <w:r w:rsidRPr="00395962">
        <w:rPr>
          <w:rFonts w:eastAsia="Arial Unicode MS"/>
          <w:color w:val="000000"/>
          <w:bdr w:val="nil"/>
          <w:shd w:val="clear" w:color="auto" w:fill="FFFFFF"/>
          <w:lang w:val="en-US" w:eastAsia="es-ES"/>
        </w:rPr>
        <w:t xml:space="preserve">. U.S. Department of Health, Education y Welfare Office of Education. National Center </w:t>
      </w:r>
      <w:proofErr w:type="gramStart"/>
      <w:r w:rsidRPr="00395962">
        <w:rPr>
          <w:rFonts w:eastAsia="Arial Unicode MS"/>
          <w:color w:val="000000"/>
          <w:bdr w:val="nil"/>
          <w:shd w:val="clear" w:color="auto" w:fill="FFFFFF"/>
          <w:lang w:val="en-US" w:eastAsia="es-ES"/>
        </w:rPr>
        <w:t>For</w:t>
      </w:r>
      <w:proofErr w:type="gramEnd"/>
      <w:r w:rsidRPr="00395962">
        <w:rPr>
          <w:rFonts w:eastAsia="Arial Unicode MS"/>
          <w:color w:val="000000"/>
          <w:bdr w:val="nil"/>
          <w:shd w:val="clear" w:color="auto" w:fill="FFFFFF"/>
          <w:lang w:val="en-US" w:eastAsia="es-ES"/>
        </w:rPr>
        <w:t xml:space="preserve"> Educational Statistics.</w:t>
      </w:r>
    </w:p>
    <w:p w14:paraId="6552425E"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lang w:eastAsia="es-ES"/>
        </w:rPr>
        <w:t xml:space="preserve">Cordero, J. M., Gil, M. y López, L. (2021). </w:t>
      </w:r>
      <w:r w:rsidRPr="00395962">
        <w:rPr>
          <w:rFonts w:eastAsia="Arial Unicode MS"/>
          <w:i/>
          <w:iCs/>
          <w:color w:val="000000"/>
          <w:bdr w:val="nil"/>
          <w:lang w:eastAsia="es-ES"/>
        </w:rPr>
        <w:t>Economía de la educación</w:t>
      </w:r>
      <w:r w:rsidRPr="00395962">
        <w:rPr>
          <w:rFonts w:eastAsia="Arial Unicode MS"/>
          <w:color w:val="000000"/>
          <w:bdr w:val="nil"/>
          <w:lang w:eastAsia="es-ES"/>
        </w:rPr>
        <w:t>. Síntesis.</w:t>
      </w:r>
    </w:p>
    <w:p w14:paraId="1FC90916"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lang w:eastAsia="es-ES"/>
        </w:rPr>
        <w:t xml:space="preserve">Cordero, J. M. y Mateos-Romero, L. (2021). </w:t>
      </w:r>
      <w:proofErr w:type="spellStart"/>
      <w:r w:rsidRPr="00395962">
        <w:rPr>
          <w:rFonts w:eastAsia="Arial Unicode MS"/>
          <w:color w:val="000000"/>
          <w:bdr w:val="nil"/>
          <w:lang w:eastAsia="es-ES"/>
        </w:rPr>
        <w:t>Exploring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factors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related</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with</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resilience</w:t>
      </w:r>
      <w:proofErr w:type="spellEnd"/>
      <w:r w:rsidRPr="00395962">
        <w:rPr>
          <w:rFonts w:eastAsia="Arial Unicode MS"/>
          <w:color w:val="000000"/>
          <w:bdr w:val="nil"/>
          <w:lang w:eastAsia="es-ES"/>
        </w:rPr>
        <w:t xml:space="preserve"> in </w:t>
      </w:r>
      <w:proofErr w:type="spellStart"/>
      <w:r w:rsidRPr="00395962">
        <w:rPr>
          <w:rFonts w:eastAsia="Arial Unicode MS"/>
          <w:color w:val="000000"/>
          <w:bdr w:val="nil"/>
          <w:lang w:eastAsia="es-ES"/>
        </w:rPr>
        <w:t>primary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education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Evidence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from</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European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countries</w:t>
      </w:r>
      <w:proofErr w:type="spellEnd"/>
      <w:r w:rsidRPr="00395962">
        <w:rPr>
          <w:rFonts w:eastAsia="Arial Unicode MS"/>
          <w:i/>
          <w:iCs/>
          <w:color w:val="000000"/>
          <w:bdr w:val="nil"/>
          <w:lang w:eastAsia="es-ES"/>
        </w:rPr>
        <w:t xml:space="preserve">. </w:t>
      </w:r>
      <w:r w:rsidRPr="00395962">
        <w:rPr>
          <w:rFonts w:eastAsia="Arial Unicode MS"/>
          <w:i/>
          <w:iCs/>
          <w:color w:val="000000"/>
          <w:bdr w:val="nil"/>
          <w:lang w:val="en-US" w:eastAsia="es-ES"/>
        </w:rPr>
        <w:t xml:space="preserve">Studies in Educational Evaluation, 70, </w:t>
      </w:r>
      <w:r w:rsidRPr="00395962">
        <w:rPr>
          <w:rFonts w:eastAsia="Arial Unicode MS"/>
          <w:color w:val="000000"/>
          <w:bdr w:val="nil"/>
          <w:lang w:val="en-US" w:eastAsia="es-ES"/>
        </w:rPr>
        <w:t>(101045), 1</w:t>
      </w:r>
      <w:r w:rsidRPr="00395962">
        <w:rPr>
          <w:rFonts w:eastAsia="Arial Unicode MS"/>
          <w:bdr w:val="nil"/>
          <w:lang w:eastAsia="es-ES"/>
        </w:rPr>
        <w:t>–</w:t>
      </w:r>
      <w:r w:rsidRPr="00395962">
        <w:rPr>
          <w:rFonts w:eastAsia="Arial Unicode MS"/>
          <w:color w:val="000000"/>
          <w:bdr w:val="nil"/>
          <w:lang w:val="en-US" w:eastAsia="es-ES"/>
        </w:rPr>
        <w:t xml:space="preserve">17. </w:t>
      </w:r>
      <w:hyperlink r:id="rId35" w:history="1">
        <w:r w:rsidRPr="00395962">
          <w:rPr>
            <w:rFonts w:eastAsia="Arial Unicode MS"/>
            <w:color w:val="000000"/>
            <w:bdr w:val="nil"/>
            <w:lang w:val="en-US" w:eastAsia="es-ES"/>
          </w:rPr>
          <w:t>https://doi.org/10.1016/j.stueduc.2021.101045</w:t>
        </w:r>
      </w:hyperlink>
    </w:p>
    <w:p w14:paraId="7E6E4AE9"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lang w:eastAsia="es-ES"/>
        </w:rPr>
        <w:t xml:space="preserve">Costa, P. y Araújo, L. (2018). </w:t>
      </w:r>
      <w:proofErr w:type="spellStart"/>
      <w:r w:rsidRPr="00395962">
        <w:rPr>
          <w:rFonts w:eastAsia="Arial Unicode MS"/>
          <w:color w:val="000000"/>
          <w:bdr w:val="nil"/>
          <w:lang w:eastAsia="es-ES"/>
        </w:rPr>
        <w:t>Skilled</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students</w:t>
      </w:r>
      <w:proofErr w:type="spellEnd"/>
      <w:r w:rsidRPr="00395962">
        <w:rPr>
          <w:rFonts w:eastAsia="Arial Unicode MS"/>
          <w:color w:val="000000"/>
          <w:bdr w:val="nil"/>
          <w:lang w:eastAsia="es-ES"/>
        </w:rPr>
        <w:t xml:space="preserve"> and </w:t>
      </w:r>
      <w:proofErr w:type="spellStart"/>
      <w:r w:rsidRPr="00395962">
        <w:rPr>
          <w:rFonts w:eastAsia="Arial Unicode MS"/>
          <w:color w:val="000000"/>
          <w:bdr w:val="nil"/>
          <w:lang w:eastAsia="es-ES"/>
        </w:rPr>
        <w:t>effective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schools</w:t>
      </w:r>
      <w:proofErr w:type="spellEnd"/>
      <w:r w:rsidRPr="00395962">
        <w:rPr>
          <w:rFonts w:eastAsia="Arial Unicode MS"/>
          <w:color w:val="000000"/>
          <w:bdr w:val="nil"/>
          <w:lang w:eastAsia="es-ES"/>
        </w:rPr>
        <w:t xml:space="preserve">: Reading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in </w:t>
      </w:r>
      <w:proofErr w:type="spellStart"/>
      <w:r w:rsidRPr="00395962">
        <w:rPr>
          <w:rFonts w:eastAsia="Arial Unicode MS"/>
          <w:color w:val="000000"/>
          <w:bdr w:val="nil"/>
          <w:lang w:eastAsia="es-ES"/>
        </w:rPr>
        <w:t>Denmark</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Sweden</w:t>
      </w:r>
      <w:proofErr w:type="spellEnd"/>
      <w:r w:rsidRPr="00395962">
        <w:rPr>
          <w:rFonts w:eastAsia="Arial Unicode MS"/>
          <w:color w:val="000000"/>
          <w:bdr w:val="nil"/>
          <w:lang w:eastAsia="es-ES"/>
        </w:rPr>
        <w:t xml:space="preserve">, and France. </w:t>
      </w:r>
      <w:r w:rsidRPr="00395962">
        <w:rPr>
          <w:rFonts w:eastAsia="Arial Unicode MS"/>
          <w:i/>
          <w:iCs/>
          <w:color w:val="000000"/>
          <w:bdr w:val="nil"/>
          <w:lang w:val="en-US" w:eastAsia="es-ES"/>
        </w:rPr>
        <w:t>Scandinavian Journal of Educational Research, 62</w:t>
      </w:r>
      <w:r w:rsidRPr="00395962">
        <w:rPr>
          <w:rFonts w:eastAsia="Arial Unicode MS"/>
          <w:color w:val="000000"/>
          <w:bdr w:val="nil"/>
          <w:lang w:val="en-US" w:eastAsia="es-ES"/>
        </w:rPr>
        <w:t>(6), 1</w:t>
      </w:r>
      <w:r w:rsidRPr="00395962">
        <w:rPr>
          <w:rFonts w:eastAsia="Arial Unicode MS"/>
          <w:bdr w:val="nil"/>
          <w:lang w:eastAsia="es-ES"/>
        </w:rPr>
        <w:t>–</w:t>
      </w:r>
      <w:r w:rsidRPr="00395962">
        <w:rPr>
          <w:rFonts w:eastAsia="Arial Unicode MS"/>
          <w:color w:val="000000"/>
          <w:bdr w:val="nil"/>
          <w:lang w:val="en-US" w:eastAsia="es-ES"/>
        </w:rPr>
        <w:t xml:space="preserve">15. </w:t>
      </w:r>
      <w:hyperlink r:id="rId36" w:history="1">
        <w:r w:rsidRPr="00395962">
          <w:rPr>
            <w:rFonts w:eastAsia="Arial Unicode MS"/>
            <w:color w:val="000000"/>
            <w:bdr w:val="nil"/>
            <w:lang w:val="en-US" w:eastAsia="es-ES"/>
          </w:rPr>
          <w:t>https://doi.org/10.1080/00313831.2017.1307274</w:t>
        </w:r>
      </w:hyperlink>
      <w:r w:rsidRPr="00395962">
        <w:rPr>
          <w:rFonts w:eastAsia="Arial Unicode MS"/>
          <w:color w:val="000000"/>
          <w:bdr w:val="nil"/>
          <w:lang w:val="en-US" w:eastAsia="es-ES"/>
        </w:rPr>
        <w:t xml:space="preserve"> </w:t>
      </w:r>
    </w:p>
    <w:p w14:paraId="683CB624"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lang w:eastAsia="es-ES"/>
        </w:rPr>
        <w:t xml:space="preserve">De la Calle, A.M., Guzmán-Simón, F. y Aguilar, M. (2021). </w:t>
      </w:r>
      <w:proofErr w:type="spellStart"/>
      <w:r w:rsidRPr="00395962">
        <w:rPr>
          <w:rFonts w:eastAsia="Arial Unicode MS"/>
          <w:color w:val="000000"/>
          <w:bdr w:val="nil"/>
          <w:lang w:eastAsia="es-ES"/>
        </w:rPr>
        <w:t>Precursors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of</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reading</w:t>
      </w:r>
      <w:proofErr w:type="spellEnd"/>
      <w:r w:rsidRPr="00395962">
        <w:rPr>
          <w:rFonts w:eastAsia="Arial Unicode MS"/>
          <w:color w:val="000000"/>
          <w:bdr w:val="nil"/>
          <w:lang w:eastAsia="es-ES"/>
        </w:rPr>
        <w:t xml:space="preserve"> performance and </w:t>
      </w:r>
      <w:proofErr w:type="spellStart"/>
      <w:r w:rsidRPr="00395962">
        <w:rPr>
          <w:rFonts w:eastAsia="Arial Unicode MS"/>
          <w:color w:val="000000"/>
          <w:bdr w:val="nil"/>
          <w:lang w:eastAsia="es-ES"/>
        </w:rPr>
        <w:t>double</w:t>
      </w:r>
      <w:proofErr w:type="spellEnd"/>
      <w:r w:rsidRPr="00395962">
        <w:rPr>
          <w:rFonts w:eastAsia="Arial Unicode MS"/>
          <w:color w:val="000000"/>
          <w:bdr w:val="nil"/>
          <w:lang w:eastAsia="es-ES"/>
        </w:rPr>
        <w:t xml:space="preserve"> and triple-</w:t>
      </w:r>
      <w:proofErr w:type="spellStart"/>
      <w:r w:rsidRPr="00395962">
        <w:rPr>
          <w:rFonts w:eastAsia="Arial Unicode MS"/>
          <w:color w:val="000000"/>
          <w:bdr w:val="nil"/>
          <w:lang w:eastAsia="es-ES"/>
        </w:rPr>
        <w:t>deficit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risks</w:t>
      </w:r>
      <w:proofErr w:type="spellEnd"/>
      <w:r w:rsidRPr="00395962">
        <w:rPr>
          <w:rFonts w:eastAsia="Arial Unicode MS"/>
          <w:color w:val="000000"/>
          <w:bdr w:val="nil"/>
          <w:lang w:eastAsia="es-ES"/>
        </w:rPr>
        <w:t xml:space="preserve"> in </w:t>
      </w:r>
      <w:proofErr w:type="spellStart"/>
      <w:r w:rsidRPr="00395962">
        <w:rPr>
          <w:rFonts w:eastAsia="Arial Unicode MS"/>
          <w:color w:val="000000"/>
          <w:bdr w:val="nil"/>
          <w:lang w:eastAsia="es-ES"/>
        </w:rPr>
        <w:t>Spanish</w:t>
      </w:r>
      <w:proofErr w:type="spellEnd"/>
      <w:r w:rsidRPr="00395962">
        <w:rPr>
          <w:rFonts w:eastAsia="Arial Unicode MS"/>
          <w:color w:val="000000"/>
          <w:bdr w:val="nil"/>
          <w:lang w:eastAsia="es-ES"/>
        </w:rPr>
        <w:t xml:space="preserve">. </w:t>
      </w:r>
      <w:proofErr w:type="spellStart"/>
      <w:r w:rsidRPr="00395962">
        <w:rPr>
          <w:rFonts w:eastAsia="Arial Unicode MS"/>
          <w:i/>
          <w:iCs/>
          <w:color w:val="000000"/>
          <w:bdr w:val="nil"/>
          <w:lang w:eastAsia="es-ES"/>
        </w:rPr>
        <w:t>Journal</w:t>
      </w:r>
      <w:proofErr w:type="spellEnd"/>
      <w:r w:rsidRPr="00395962">
        <w:rPr>
          <w:rFonts w:eastAsia="Arial Unicode MS"/>
          <w:i/>
          <w:iCs/>
          <w:color w:val="000000"/>
          <w:bdr w:val="nil"/>
          <w:lang w:eastAsia="es-ES"/>
        </w:rPr>
        <w:t xml:space="preserve"> </w:t>
      </w:r>
      <w:proofErr w:type="spellStart"/>
      <w:r w:rsidRPr="00395962">
        <w:rPr>
          <w:rFonts w:eastAsia="Arial Unicode MS"/>
          <w:i/>
          <w:iCs/>
          <w:color w:val="000000"/>
          <w:bdr w:val="nil"/>
          <w:lang w:eastAsia="es-ES"/>
        </w:rPr>
        <w:t>of</w:t>
      </w:r>
      <w:proofErr w:type="spellEnd"/>
      <w:r w:rsidRPr="00395962">
        <w:rPr>
          <w:rFonts w:eastAsia="Arial Unicode MS"/>
          <w:i/>
          <w:iCs/>
          <w:color w:val="000000"/>
          <w:bdr w:val="nil"/>
          <w:lang w:eastAsia="es-ES"/>
        </w:rPr>
        <w:t xml:space="preserve"> </w:t>
      </w:r>
      <w:proofErr w:type="spellStart"/>
      <w:r w:rsidRPr="00395962">
        <w:rPr>
          <w:rFonts w:eastAsia="Arial Unicode MS"/>
          <w:i/>
          <w:iCs/>
          <w:color w:val="000000"/>
          <w:bdr w:val="nil"/>
          <w:lang w:eastAsia="es-ES"/>
        </w:rPr>
        <w:t>Learning</w:t>
      </w:r>
      <w:proofErr w:type="spellEnd"/>
      <w:r w:rsidRPr="00395962">
        <w:rPr>
          <w:rFonts w:eastAsia="Arial Unicode MS"/>
          <w:i/>
          <w:iCs/>
          <w:color w:val="000000"/>
          <w:bdr w:val="nil"/>
          <w:lang w:eastAsia="es-ES"/>
        </w:rPr>
        <w:t xml:space="preserve"> </w:t>
      </w:r>
      <w:proofErr w:type="spellStart"/>
      <w:r w:rsidRPr="00395962">
        <w:rPr>
          <w:rFonts w:eastAsia="Arial Unicode MS"/>
          <w:i/>
          <w:iCs/>
          <w:color w:val="000000"/>
          <w:bdr w:val="nil"/>
          <w:lang w:eastAsia="es-ES"/>
        </w:rPr>
        <w:t>Disabilities</w:t>
      </w:r>
      <w:proofErr w:type="spellEnd"/>
      <w:r w:rsidRPr="00395962">
        <w:rPr>
          <w:rFonts w:eastAsia="Arial Unicode MS"/>
          <w:i/>
          <w:iCs/>
          <w:color w:val="000000"/>
          <w:bdr w:val="nil"/>
          <w:lang w:eastAsia="es-ES"/>
        </w:rPr>
        <w:t>, 54</w:t>
      </w:r>
      <w:r w:rsidRPr="00395962">
        <w:rPr>
          <w:rFonts w:eastAsia="Arial Unicode MS"/>
          <w:color w:val="000000"/>
          <w:bdr w:val="nil"/>
          <w:lang w:eastAsia="es-ES"/>
        </w:rPr>
        <w:t>(4), 300</w:t>
      </w:r>
      <w:r w:rsidRPr="00395962">
        <w:rPr>
          <w:rFonts w:eastAsia="Arial Unicode MS"/>
          <w:bdr w:val="nil"/>
          <w:lang w:eastAsia="es-ES"/>
        </w:rPr>
        <w:t>–</w:t>
      </w:r>
      <w:r w:rsidRPr="00395962">
        <w:rPr>
          <w:rFonts w:eastAsia="Arial Unicode MS"/>
          <w:color w:val="000000"/>
          <w:bdr w:val="nil"/>
          <w:lang w:eastAsia="es-ES"/>
        </w:rPr>
        <w:t xml:space="preserve">313. </w:t>
      </w:r>
      <w:hyperlink r:id="rId37" w:history="1">
        <w:r w:rsidRPr="00395962">
          <w:rPr>
            <w:rFonts w:eastAsia="Arial Unicode MS"/>
            <w:color w:val="000000"/>
            <w:bdr w:val="nil"/>
            <w:lang w:eastAsia="es-ES"/>
          </w:rPr>
          <w:t>https://doi.org/10.1177/0022219420979960</w:t>
        </w:r>
      </w:hyperlink>
      <w:r w:rsidRPr="00395962">
        <w:rPr>
          <w:rFonts w:eastAsia="Arial Unicode MS"/>
          <w:color w:val="000000"/>
          <w:bdr w:val="nil"/>
          <w:lang w:eastAsia="es-ES"/>
        </w:rPr>
        <w:t xml:space="preserve"> </w:t>
      </w:r>
    </w:p>
    <w:p w14:paraId="7C2479B0"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r w:rsidRPr="00395962">
        <w:rPr>
          <w:rFonts w:eastAsia="Arial Unicode MS"/>
          <w:color w:val="000000"/>
          <w:bdr w:val="nil"/>
          <w:lang w:eastAsia="es-ES"/>
        </w:rPr>
        <w:t>De la Calle, A. M., Guzmán-Simón, F. y García-Jiménez, E. (2019). Los precursores cognitivos tempranos de la lectura inicial: un modelo de aprendizaje en niños de 6 a 8 años. </w:t>
      </w:r>
      <w:r w:rsidRPr="00395962">
        <w:rPr>
          <w:rFonts w:eastAsia="Arial Unicode MS"/>
          <w:i/>
          <w:iCs/>
          <w:color w:val="000000"/>
          <w:bdr w:val="nil"/>
          <w:lang w:eastAsia="es-ES"/>
        </w:rPr>
        <w:t>Revista de Investigación Educativa</w:t>
      </w:r>
      <w:r w:rsidRPr="00395962">
        <w:rPr>
          <w:rFonts w:eastAsia="Arial Unicode MS"/>
          <w:color w:val="000000"/>
          <w:bdr w:val="nil"/>
          <w:lang w:eastAsia="es-ES"/>
        </w:rPr>
        <w:t>, </w:t>
      </w:r>
      <w:r w:rsidRPr="00395962">
        <w:rPr>
          <w:rFonts w:eastAsia="Arial Unicode MS"/>
          <w:i/>
          <w:iCs/>
          <w:color w:val="000000"/>
          <w:bdr w:val="nil"/>
          <w:lang w:eastAsia="es-ES"/>
        </w:rPr>
        <w:t>37</w:t>
      </w:r>
      <w:r w:rsidRPr="00395962">
        <w:rPr>
          <w:rFonts w:eastAsia="Arial Unicode MS"/>
          <w:color w:val="000000"/>
          <w:bdr w:val="nil"/>
          <w:lang w:eastAsia="es-ES"/>
        </w:rPr>
        <w:t xml:space="preserve">(2), 345–361. </w:t>
      </w:r>
      <w:hyperlink r:id="rId38" w:history="1">
        <w:r w:rsidRPr="00395962">
          <w:rPr>
            <w:rFonts w:eastAsia="Arial Unicode MS"/>
            <w:color w:val="000000"/>
            <w:bdr w:val="nil"/>
            <w:lang w:eastAsia="es-ES"/>
          </w:rPr>
          <w:t>https://doi.org/10.6018/rie.37.2.312661</w:t>
        </w:r>
      </w:hyperlink>
      <w:r w:rsidRPr="00395962">
        <w:rPr>
          <w:rFonts w:eastAsia="Arial Unicode MS"/>
          <w:color w:val="000000"/>
          <w:bdr w:val="nil"/>
          <w:lang w:eastAsia="es-ES"/>
        </w:rPr>
        <w:t xml:space="preserve"> </w:t>
      </w:r>
    </w:p>
    <w:p w14:paraId="1E5D4362"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eastAsia="es-ES"/>
        </w:rPr>
      </w:pPr>
      <w:proofErr w:type="spellStart"/>
      <w:r w:rsidRPr="00395962">
        <w:rPr>
          <w:rFonts w:eastAsia="Arial Unicode MS"/>
          <w:color w:val="000000"/>
          <w:bdr w:val="nil"/>
          <w:lang w:eastAsia="es-ES"/>
        </w:rPr>
        <w:t>Egido</w:t>
      </w:r>
      <w:proofErr w:type="spellEnd"/>
      <w:r w:rsidRPr="00395962">
        <w:rPr>
          <w:rFonts w:eastAsia="Arial Unicode MS"/>
          <w:color w:val="000000"/>
          <w:bdr w:val="nil"/>
          <w:lang w:eastAsia="es-ES"/>
        </w:rPr>
        <w:t>, I. y Martínez-</w:t>
      </w:r>
      <w:proofErr w:type="spellStart"/>
      <w:r w:rsidRPr="00395962">
        <w:rPr>
          <w:rFonts w:eastAsia="Arial Unicode MS"/>
          <w:color w:val="000000"/>
          <w:bdr w:val="nil"/>
          <w:lang w:eastAsia="es-ES"/>
        </w:rPr>
        <w:t>Usarralde</w:t>
      </w:r>
      <w:proofErr w:type="spellEnd"/>
      <w:r w:rsidRPr="00395962">
        <w:rPr>
          <w:rFonts w:eastAsia="Arial Unicode MS"/>
          <w:color w:val="000000"/>
          <w:bdr w:val="nil"/>
          <w:lang w:eastAsia="es-ES"/>
        </w:rPr>
        <w:t xml:space="preserve">, M.J. (2019). </w:t>
      </w:r>
      <w:r w:rsidRPr="00395962">
        <w:rPr>
          <w:rFonts w:eastAsia="Arial Unicode MS"/>
          <w:i/>
          <w:iCs/>
          <w:color w:val="000000"/>
          <w:bdr w:val="nil"/>
          <w:lang w:eastAsia="es-ES"/>
        </w:rPr>
        <w:t>La educación comparada, hoy.</w:t>
      </w:r>
      <w:r w:rsidRPr="00395962">
        <w:rPr>
          <w:rFonts w:eastAsia="Arial Unicode MS"/>
          <w:color w:val="000000"/>
          <w:bdr w:val="nil"/>
          <w:lang w:eastAsia="es-ES"/>
        </w:rPr>
        <w:t xml:space="preserve"> Síntesis.</w:t>
      </w:r>
    </w:p>
    <w:p w14:paraId="7AEED68C" w14:textId="77777777" w:rsidR="00C00B69" w:rsidRPr="00395962" w:rsidRDefault="00C00B69" w:rsidP="00C00B69">
      <w:pPr>
        <w:pBdr>
          <w:top w:val="nil"/>
          <w:left w:val="nil"/>
          <w:bottom w:val="nil"/>
          <w:right w:val="nil"/>
          <w:between w:val="nil"/>
          <w:bar w:val="nil"/>
        </w:pBdr>
        <w:adjustRightInd w:val="0"/>
        <w:spacing w:line="240" w:lineRule="auto"/>
        <w:ind w:left="709" w:hanging="709"/>
        <w:contextualSpacing/>
        <w:rPr>
          <w:rFonts w:eastAsia="Arial Unicode MS"/>
          <w:color w:val="000000"/>
          <w:bdr w:val="nil"/>
          <w:lang w:val="en-US" w:eastAsia="es-ES"/>
        </w:rPr>
      </w:pPr>
      <w:r w:rsidRPr="00395962">
        <w:rPr>
          <w:rFonts w:eastAsia="Arial Unicode MS"/>
          <w:color w:val="000000"/>
          <w:bdr w:val="nil"/>
          <w:shd w:val="clear" w:color="auto" w:fill="FFFFFF"/>
          <w:lang w:val="en-US" w:eastAsia="es-ES"/>
        </w:rPr>
        <w:t xml:space="preserve">Ehm, J. H., </w:t>
      </w:r>
      <w:proofErr w:type="spellStart"/>
      <w:r w:rsidRPr="00395962">
        <w:rPr>
          <w:rFonts w:eastAsia="Arial Unicode MS"/>
          <w:color w:val="000000"/>
          <w:bdr w:val="nil"/>
          <w:shd w:val="clear" w:color="auto" w:fill="FFFFFF"/>
          <w:lang w:val="en-US" w:eastAsia="es-ES"/>
        </w:rPr>
        <w:t>Hasselhorn</w:t>
      </w:r>
      <w:proofErr w:type="spellEnd"/>
      <w:r w:rsidRPr="00395962">
        <w:rPr>
          <w:rFonts w:eastAsia="Arial Unicode MS"/>
          <w:color w:val="000000"/>
          <w:bdr w:val="nil"/>
          <w:shd w:val="clear" w:color="auto" w:fill="FFFFFF"/>
          <w:lang w:val="en-US" w:eastAsia="es-ES"/>
        </w:rPr>
        <w:t xml:space="preserve">, M. y Schmiedek, F. (2019). </w:t>
      </w:r>
      <w:proofErr w:type="spellStart"/>
      <w:r w:rsidRPr="00395962">
        <w:rPr>
          <w:rFonts w:eastAsia="Arial Unicode MS"/>
          <w:color w:val="000000"/>
          <w:bdr w:val="nil"/>
          <w:shd w:val="clear" w:color="auto" w:fill="FFFFFF"/>
          <w:lang w:eastAsia="es-ES"/>
        </w:rPr>
        <w:t>Analyzing</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the</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developmental</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relation</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of</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academic</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self</w:t>
      </w:r>
      <w:proofErr w:type="spellEnd"/>
      <w:r w:rsidRPr="00395962">
        <w:rPr>
          <w:rFonts w:eastAsia="Arial Unicode MS"/>
          <w:color w:val="000000"/>
          <w:bdr w:val="nil"/>
          <w:shd w:val="clear" w:color="auto" w:fill="FFFFFF"/>
          <w:lang w:eastAsia="es-ES"/>
        </w:rPr>
        <w:t xml:space="preserve">-concept and </w:t>
      </w:r>
      <w:proofErr w:type="spellStart"/>
      <w:r w:rsidRPr="00395962">
        <w:rPr>
          <w:rFonts w:eastAsia="Arial Unicode MS"/>
          <w:color w:val="000000"/>
          <w:bdr w:val="nil"/>
          <w:shd w:val="clear" w:color="auto" w:fill="FFFFFF"/>
          <w:lang w:eastAsia="es-ES"/>
        </w:rPr>
        <w:t>achievement</w:t>
      </w:r>
      <w:proofErr w:type="spellEnd"/>
      <w:r w:rsidRPr="00395962">
        <w:rPr>
          <w:rFonts w:eastAsia="Arial Unicode MS"/>
          <w:color w:val="000000"/>
          <w:bdr w:val="nil"/>
          <w:shd w:val="clear" w:color="auto" w:fill="FFFFFF"/>
          <w:lang w:eastAsia="es-ES"/>
        </w:rPr>
        <w:t xml:space="preserve"> in </w:t>
      </w:r>
      <w:proofErr w:type="spellStart"/>
      <w:r w:rsidRPr="00395962">
        <w:rPr>
          <w:rFonts w:eastAsia="Arial Unicode MS"/>
          <w:color w:val="000000"/>
          <w:bdr w:val="nil"/>
          <w:shd w:val="clear" w:color="auto" w:fill="FFFFFF"/>
          <w:lang w:eastAsia="es-ES"/>
        </w:rPr>
        <w:t>elementary</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school</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children</w:t>
      </w:r>
      <w:proofErr w:type="spellEnd"/>
      <w:r w:rsidRPr="00395962">
        <w:rPr>
          <w:rFonts w:eastAsia="Arial Unicode MS"/>
          <w:color w:val="000000"/>
          <w:bdr w:val="nil"/>
          <w:shd w:val="clear" w:color="auto" w:fill="FFFFFF"/>
          <w:lang w:eastAsia="es-ES"/>
        </w:rPr>
        <w:t xml:space="preserve">: Alternative </w:t>
      </w:r>
      <w:proofErr w:type="spellStart"/>
      <w:r w:rsidRPr="00395962">
        <w:rPr>
          <w:rFonts w:eastAsia="Arial Unicode MS"/>
          <w:color w:val="000000"/>
          <w:bdr w:val="nil"/>
          <w:shd w:val="clear" w:color="auto" w:fill="FFFFFF"/>
          <w:lang w:eastAsia="es-ES"/>
        </w:rPr>
        <w:t>models</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point</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to</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different</w:t>
      </w:r>
      <w:proofErr w:type="spellEnd"/>
      <w:r w:rsidRPr="00395962">
        <w:rPr>
          <w:rFonts w:eastAsia="Arial Unicode MS"/>
          <w:color w:val="000000"/>
          <w:bdr w:val="nil"/>
          <w:shd w:val="clear" w:color="auto" w:fill="FFFFFF"/>
          <w:lang w:eastAsia="es-ES"/>
        </w:rPr>
        <w:t xml:space="preserve"> </w:t>
      </w:r>
      <w:proofErr w:type="spellStart"/>
      <w:r w:rsidRPr="00395962">
        <w:rPr>
          <w:rFonts w:eastAsia="Arial Unicode MS"/>
          <w:color w:val="000000"/>
          <w:bdr w:val="nil"/>
          <w:shd w:val="clear" w:color="auto" w:fill="FFFFFF"/>
          <w:lang w:eastAsia="es-ES"/>
        </w:rPr>
        <w:t>results</w:t>
      </w:r>
      <w:proofErr w:type="spellEnd"/>
      <w:r w:rsidRPr="00395962">
        <w:rPr>
          <w:rFonts w:eastAsia="Arial Unicode MS"/>
          <w:color w:val="000000"/>
          <w:bdr w:val="nil"/>
          <w:shd w:val="clear" w:color="auto" w:fill="FFFFFF"/>
          <w:lang w:eastAsia="es-ES"/>
        </w:rPr>
        <w:t>. </w:t>
      </w:r>
      <w:r w:rsidRPr="00395962">
        <w:rPr>
          <w:rFonts w:eastAsia="Arial Unicode MS"/>
          <w:i/>
          <w:iCs/>
          <w:color w:val="000000"/>
          <w:bdr w:val="nil"/>
          <w:lang w:val="en-US" w:eastAsia="es-ES"/>
        </w:rPr>
        <w:t xml:space="preserve">Developmental Psychology, </w:t>
      </w:r>
      <w:r w:rsidRPr="00395962">
        <w:rPr>
          <w:rFonts w:eastAsia="Arial Unicode MS"/>
          <w:i/>
          <w:iCs/>
          <w:color w:val="000000"/>
          <w:bdr w:val="nil"/>
          <w:lang w:val="en-US" w:eastAsia="es-ES"/>
        </w:rPr>
        <w:lastRenderedPageBreak/>
        <w:t>55</w:t>
      </w:r>
      <w:r w:rsidRPr="00395962">
        <w:rPr>
          <w:rFonts w:eastAsia="Arial Unicode MS"/>
          <w:color w:val="000000"/>
          <w:bdr w:val="nil"/>
          <w:shd w:val="clear" w:color="auto" w:fill="FFFFFF"/>
          <w:lang w:val="en-US" w:eastAsia="es-ES"/>
        </w:rPr>
        <w:t>(11), 2336</w:t>
      </w:r>
      <w:r w:rsidRPr="00395962">
        <w:rPr>
          <w:rFonts w:eastAsia="Arial Unicode MS"/>
          <w:bdr w:val="nil"/>
          <w:lang w:eastAsia="es-ES"/>
        </w:rPr>
        <w:t>–</w:t>
      </w:r>
      <w:r w:rsidRPr="00395962">
        <w:rPr>
          <w:rFonts w:eastAsia="Arial Unicode MS"/>
          <w:color w:val="000000"/>
          <w:bdr w:val="nil"/>
          <w:shd w:val="clear" w:color="auto" w:fill="FFFFFF"/>
          <w:lang w:val="en-US" w:eastAsia="es-ES"/>
        </w:rPr>
        <w:t>2351. </w:t>
      </w:r>
      <w:hyperlink r:id="rId39" w:tgtFrame="_blank" w:history="1">
        <w:r w:rsidRPr="00395962">
          <w:rPr>
            <w:rFonts w:eastAsia="Arial Unicode MS"/>
            <w:color w:val="000000"/>
            <w:bdr w:val="nil"/>
            <w:lang w:val="en-US" w:eastAsia="es-ES"/>
          </w:rPr>
          <w:t>https://doi.org/10.1037/dev0000796</w:t>
        </w:r>
      </w:hyperlink>
    </w:p>
    <w:p w14:paraId="37A9B1CB" w14:textId="77777777" w:rsidR="00C00B69" w:rsidRPr="00395962" w:rsidRDefault="00C00B69" w:rsidP="00C00B69">
      <w:pPr>
        <w:widowControl w:val="0"/>
        <w:pBdr>
          <w:top w:val="nil"/>
          <w:left w:val="nil"/>
          <w:bottom w:val="nil"/>
          <w:right w:val="nil"/>
          <w:between w:val="nil"/>
          <w:bar w:val="nil"/>
        </w:pBdr>
        <w:tabs>
          <w:tab w:val="right" w:pos="10337"/>
        </w:tabs>
        <w:spacing w:before="0" w:line="240" w:lineRule="auto"/>
        <w:ind w:left="709" w:hanging="709"/>
        <w:contextualSpacing/>
        <w:outlineLvl w:val="0"/>
        <w:rPr>
          <w:rFonts w:ascii="Gill Sans Light" w:eastAsia="Gill Sans Light" w:hAnsi="Gill Sans Light" w:cs="Gill Sans Light"/>
          <w:color w:val="000000"/>
          <w:sz w:val="56"/>
          <w:szCs w:val="56"/>
          <w:bdr w:val="nil"/>
          <w:lang w:val="en-US" w:eastAsia="es-ES"/>
        </w:rPr>
      </w:pPr>
      <w:r w:rsidRPr="00395962">
        <w:rPr>
          <w:rFonts w:eastAsia="Gill Sans Light"/>
          <w:color w:val="000000"/>
          <w:bdr w:val="nil"/>
          <w:lang w:val="en-US" w:eastAsia="es-ES"/>
        </w:rPr>
        <w:t xml:space="preserve">Figlio, D., Holden, K. L. y </w:t>
      </w:r>
      <w:proofErr w:type="spellStart"/>
      <w:r w:rsidRPr="00395962">
        <w:rPr>
          <w:rFonts w:eastAsia="Gill Sans Light"/>
          <w:color w:val="000000"/>
          <w:bdr w:val="nil"/>
          <w:lang w:val="en-US" w:eastAsia="es-ES"/>
        </w:rPr>
        <w:t>Ozek</w:t>
      </w:r>
      <w:proofErr w:type="spellEnd"/>
      <w:r w:rsidRPr="00395962">
        <w:rPr>
          <w:rFonts w:eastAsia="Gill Sans Light"/>
          <w:color w:val="000000"/>
          <w:bdr w:val="nil"/>
          <w:lang w:val="en-US" w:eastAsia="es-ES"/>
        </w:rPr>
        <w:t xml:space="preserve">., U. (2018). Do students benefit from longer school days? </w:t>
      </w:r>
      <w:proofErr w:type="spellStart"/>
      <w:r w:rsidRPr="00395962">
        <w:rPr>
          <w:rFonts w:eastAsia="Gill Sans Light"/>
          <w:color w:val="000000"/>
          <w:bdr w:val="nil"/>
          <w:lang w:eastAsia="es-ES"/>
        </w:rPr>
        <w:t>Regression</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discontinuity</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evidence</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from</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Florida's</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additional</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hour</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of</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literacy</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instruction</w:t>
      </w:r>
      <w:proofErr w:type="spellEnd"/>
      <w:r w:rsidRPr="00395962">
        <w:rPr>
          <w:rFonts w:eastAsia="Gill Sans Light"/>
          <w:color w:val="000000"/>
          <w:bdr w:val="nil"/>
          <w:lang w:eastAsia="es-ES"/>
        </w:rPr>
        <w:t xml:space="preserve">. </w:t>
      </w:r>
      <w:r w:rsidRPr="00395962">
        <w:rPr>
          <w:rFonts w:eastAsia="Gill Sans Light"/>
          <w:i/>
          <w:iCs/>
          <w:color w:val="000000"/>
          <w:bdr w:val="nil"/>
          <w:lang w:val="en-US" w:eastAsia="es-ES"/>
        </w:rPr>
        <w:t xml:space="preserve">Economics of Education Review, </w:t>
      </w:r>
      <w:r w:rsidRPr="00395962">
        <w:rPr>
          <w:rFonts w:eastAsia="Gill Sans Light"/>
          <w:color w:val="000000"/>
          <w:bdr w:val="nil"/>
          <w:lang w:val="en-US" w:eastAsia="es-ES"/>
        </w:rPr>
        <w:t xml:space="preserve">(67), 171–183. </w:t>
      </w:r>
      <w:hyperlink r:id="rId40" w:history="1">
        <w:r w:rsidRPr="00395962">
          <w:rPr>
            <w:rFonts w:eastAsia="Gill Sans Light"/>
            <w:color w:val="000000"/>
            <w:bdr w:val="nil"/>
            <w:lang w:val="en-US" w:eastAsia="es-ES"/>
          </w:rPr>
          <w:t>https://doi.org/10.1016/j.econedurev.2018.06.003</w:t>
        </w:r>
      </w:hyperlink>
      <w:r w:rsidRPr="00395962">
        <w:rPr>
          <w:rFonts w:eastAsia="Gill Sans Light"/>
          <w:color w:val="000000"/>
          <w:bdr w:val="nil"/>
          <w:lang w:val="en-US" w:eastAsia="es-ES"/>
        </w:rPr>
        <w:t xml:space="preserve"> </w:t>
      </w:r>
    </w:p>
    <w:p w14:paraId="0416992F" w14:textId="77777777" w:rsidR="00C00B69" w:rsidRPr="00395962" w:rsidRDefault="00C00B69" w:rsidP="00C00B69">
      <w:pPr>
        <w:pBdr>
          <w:top w:val="nil"/>
          <w:left w:val="nil"/>
          <w:bottom w:val="nil"/>
          <w:right w:val="nil"/>
          <w:between w:val="nil"/>
          <w:bar w:val="nil"/>
        </w:pBdr>
        <w:adjustRightInd w:val="0"/>
        <w:spacing w:before="0" w:line="240" w:lineRule="auto"/>
        <w:ind w:left="709" w:hanging="709"/>
        <w:contextualSpacing/>
        <w:rPr>
          <w:rFonts w:eastAsia="Arial Unicode MS"/>
          <w:color w:val="000000"/>
          <w:bdr w:val="nil"/>
          <w:lang w:eastAsia="es-ES"/>
        </w:rPr>
      </w:pPr>
      <w:proofErr w:type="spellStart"/>
      <w:r w:rsidRPr="00395962">
        <w:rPr>
          <w:rFonts w:eastAsia="Arial Unicode MS"/>
          <w:bdr w:val="nil"/>
          <w:lang w:eastAsia="es-ES"/>
        </w:rPr>
        <w:t>Fishbein</w:t>
      </w:r>
      <w:proofErr w:type="spellEnd"/>
      <w:r w:rsidRPr="00395962">
        <w:rPr>
          <w:rFonts w:eastAsia="Arial Unicode MS"/>
          <w:bdr w:val="nil"/>
          <w:lang w:eastAsia="es-ES"/>
        </w:rPr>
        <w:t xml:space="preserve">, B., Yin, L. y Foy, P. (2024). </w:t>
      </w:r>
      <w:r w:rsidRPr="00395962">
        <w:rPr>
          <w:rFonts w:eastAsia="Arial Unicode MS"/>
          <w:i/>
          <w:iCs/>
          <w:bdr w:val="nil"/>
          <w:lang w:eastAsia="es-ES"/>
        </w:rPr>
        <w:t xml:space="preserve">PIRLS 2021 </w:t>
      </w:r>
      <w:proofErr w:type="spellStart"/>
      <w:r w:rsidRPr="00395962">
        <w:rPr>
          <w:rFonts w:eastAsia="Arial Unicode MS"/>
          <w:i/>
          <w:iCs/>
          <w:bdr w:val="nil"/>
          <w:lang w:eastAsia="es-ES"/>
        </w:rPr>
        <w:t>User</w:t>
      </w:r>
      <w:proofErr w:type="spellEnd"/>
      <w:r w:rsidRPr="00395962">
        <w:rPr>
          <w:rFonts w:eastAsia="Arial Unicode MS"/>
          <w:i/>
          <w:iCs/>
          <w:bdr w:val="nil"/>
          <w:lang w:eastAsia="es-ES"/>
        </w:rPr>
        <w:t xml:space="preserve"> Guide </w:t>
      </w:r>
      <w:proofErr w:type="spellStart"/>
      <w:r w:rsidRPr="00395962">
        <w:rPr>
          <w:rFonts w:eastAsia="Arial Unicode MS"/>
          <w:i/>
          <w:iCs/>
          <w:bdr w:val="nil"/>
          <w:lang w:eastAsia="es-ES"/>
        </w:rPr>
        <w:t>for</w:t>
      </w:r>
      <w:proofErr w:type="spellEnd"/>
      <w:r w:rsidRPr="00395962">
        <w:rPr>
          <w:rFonts w:eastAsia="Arial Unicode MS"/>
          <w:i/>
          <w:iCs/>
          <w:bdr w:val="nil"/>
          <w:lang w:eastAsia="es-ES"/>
        </w:rPr>
        <w:t xml:space="preserve"> </w:t>
      </w:r>
      <w:proofErr w:type="spellStart"/>
      <w:r w:rsidRPr="00395962">
        <w:rPr>
          <w:rFonts w:eastAsia="Arial Unicode MS"/>
          <w:i/>
          <w:iCs/>
          <w:bdr w:val="nil"/>
          <w:lang w:eastAsia="es-ES"/>
        </w:rPr>
        <w:t>the</w:t>
      </w:r>
      <w:proofErr w:type="spellEnd"/>
      <w:r w:rsidRPr="00395962">
        <w:rPr>
          <w:rFonts w:eastAsia="Arial Unicode MS"/>
          <w:i/>
          <w:iCs/>
          <w:bdr w:val="nil"/>
          <w:lang w:eastAsia="es-ES"/>
        </w:rPr>
        <w:t xml:space="preserve"> International </w:t>
      </w:r>
      <w:proofErr w:type="spellStart"/>
      <w:r w:rsidRPr="00395962">
        <w:rPr>
          <w:rFonts w:eastAsia="Arial Unicode MS"/>
          <w:i/>
          <w:iCs/>
          <w:bdr w:val="nil"/>
          <w:lang w:eastAsia="es-ES"/>
        </w:rPr>
        <w:t>Database</w:t>
      </w:r>
      <w:proofErr w:type="spellEnd"/>
      <w:r w:rsidRPr="00395962">
        <w:rPr>
          <w:rFonts w:eastAsia="Arial Unicode MS"/>
          <w:i/>
          <w:iCs/>
          <w:bdr w:val="nil"/>
          <w:lang w:eastAsia="es-ES"/>
        </w:rPr>
        <w:t xml:space="preserve"> </w:t>
      </w:r>
      <w:r w:rsidRPr="00395962">
        <w:rPr>
          <w:rFonts w:eastAsia="Arial Unicode MS"/>
          <w:bdr w:val="nil"/>
          <w:lang w:eastAsia="es-ES"/>
        </w:rPr>
        <w:t>(2</w:t>
      </w:r>
      <w:r w:rsidRPr="00395962">
        <w:rPr>
          <w:rFonts w:eastAsia="Arial Unicode MS"/>
          <w:bdr w:val="nil"/>
          <w:vertAlign w:val="superscript"/>
          <w:lang w:eastAsia="es-ES"/>
        </w:rPr>
        <w:t>nd</w:t>
      </w:r>
      <w:r w:rsidRPr="00395962">
        <w:rPr>
          <w:rFonts w:eastAsia="Arial Unicode MS"/>
          <w:bdr w:val="nil"/>
          <w:lang w:eastAsia="es-ES"/>
        </w:rPr>
        <w:t xml:space="preserve"> ed.). Boston </w:t>
      </w:r>
      <w:proofErr w:type="spellStart"/>
      <w:r w:rsidRPr="00395962">
        <w:rPr>
          <w:rFonts w:eastAsia="Arial Unicode MS"/>
          <w:bdr w:val="nil"/>
          <w:lang w:eastAsia="es-ES"/>
        </w:rPr>
        <w:t>College</w:t>
      </w:r>
      <w:proofErr w:type="spellEnd"/>
      <w:r w:rsidRPr="00395962">
        <w:rPr>
          <w:rFonts w:eastAsia="Arial Unicode MS"/>
          <w:bdr w:val="nil"/>
          <w:lang w:eastAsia="es-ES"/>
        </w:rPr>
        <w:t xml:space="preserve">, TIMSS &amp; PIRLS International </w:t>
      </w:r>
      <w:proofErr w:type="spellStart"/>
      <w:r w:rsidRPr="00395962">
        <w:rPr>
          <w:rFonts w:eastAsia="Arial Unicode MS"/>
          <w:bdr w:val="nil"/>
          <w:lang w:eastAsia="es-ES"/>
        </w:rPr>
        <w:t>Study</w:t>
      </w:r>
      <w:proofErr w:type="spellEnd"/>
      <w:r w:rsidRPr="00395962">
        <w:rPr>
          <w:rFonts w:eastAsia="Arial Unicode MS"/>
          <w:bdr w:val="nil"/>
          <w:lang w:eastAsia="es-ES"/>
        </w:rPr>
        <w:t xml:space="preserve"> Center. </w:t>
      </w:r>
      <w:hyperlink r:id="rId41" w:history="1">
        <w:r w:rsidRPr="00395962">
          <w:rPr>
            <w:rFonts w:eastAsia="Arial Unicode MS"/>
            <w:u w:val="single"/>
            <w:bdr w:val="nil"/>
            <w:lang w:eastAsia="es-ES"/>
          </w:rPr>
          <w:t>https://pirls2021.org/data</w:t>
        </w:r>
      </w:hyperlink>
    </w:p>
    <w:p w14:paraId="71FF4AC8" w14:textId="77777777" w:rsidR="00C00B69" w:rsidRPr="00395962" w:rsidRDefault="00C00B69" w:rsidP="00C00B69">
      <w:pPr>
        <w:widowControl w:val="0"/>
        <w:pBdr>
          <w:top w:val="nil"/>
          <w:left w:val="nil"/>
          <w:bottom w:val="nil"/>
          <w:right w:val="nil"/>
          <w:between w:val="nil"/>
          <w:bar w:val="nil"/>
        </w:pBdr>
        <w:tabs>
          <w:tab w:val="right" w:pos="10337"/>
        </w:tabs>
        <w:spacing w:after="240" w:line="240" w:lineRule="auto"/>
        <w:ind w:left="709" w:hanging="709"/>
        <w:contextualSpacing/>
        <w:outlineLvl w:val="0"/>
        <w:rPr>
          <w:rFonts w:eastAsia="Gill Sans Light"/>
          <w:color w:val="000000"/>
          <w:bdr w:val="nil"/>
          <w:lang w:val="en-US" w:eastAsia="es-ES"/>
        </w:rPr>
      </w:pPr>
      <w:r w:rsidRPr="00395962">
        <w:rPr>
          <w:rFonts w:eastAsia="Gill Sans Light"/>
          <w:color w:val="000000"/>
          <w:bdr w:val="nil"/>
          <w:lang w:eastAsia="es-ES"/>
        </w:rPr>
        <w:t xml:space="preserve">García-Crespo, F. J., </w:t>
      </w:r>
      <w:proofErr w:type="spellStart"/>
      <w:r w:rsidRPr="00395962">
        <w:rPr>
          <w:rFonts w:eastAsia="Gill Sans Light"/>
          <w:color w:val="000000"/>
          <w:bdr w:val="nil"/>
          <w:lang w:eastAsia="es-ES"/>
        </w:rPr>
        <w:t>Galián</w:t>
      </w:r>
      <w:proofErr w:type="spellEnd"/>
      <w:r w:rsidRPr="00395962">
        <w:rPr>
          <w:rFonts w:eastAsia="Gill Sans Light"/>
          <w:color w:val="000000"/>
          <w:bdr w:val="nil"/>
          <w:lang w:eastAsia="es-ES"/>
        </w:rPr>
        <w:t xml:space="preserve">, B., Fernández-Alonso, R. y Muñiz, J. (2019). Resiliencia educativa en comprensión lectora: Factores predictores en PIRLS-Europa. </w:t>
      </w:r>
      <w:r w:rsidRPr="00395962">
        <w:rPr>
          <w:rFonts w:eastAsia="Gill Sans Light"/>
          <w:i/>
          <w:iCs/>
          <w:color w:val="000000"/>
          <w:bdr w:val="nil"/>
          <w:lang w:val="en-US" w:eastAsia="es-ES"/>
        </w:rPr>
        <w:t xml:space="preserve">Revista de </w:t>
      </w:r>
      <w:proofErr w:type="spellStart"/>
      <w:r w:rsidRPr="00395962">
        <w:rPr>
          <w:rFonts w:eastAsia="Gill Sans Light"/>
          <w:i/>
          <w:iCs/>
          <w:color w:val="000000"/>
          <w:bdr w:val="nil"/>
          <w:lang w:val="en-US" w:eastAsia="es-ES"/>
        </w:rPr>
        <w:t>Educación</w:t>
      </w:r>
      <w:proofErr w:type="spellEnd"/>
      <w:r w:rsidRPr="00395962">
        <w:rPr>
          <w:rFonts w:eastAsia="Gill Sans Light"/>
          <w:color w:val="000000"/>
          <w:bdr w:val="nil"/>
          <w:lang w:val="en-US" w:eastAsia="es-ES"/>
        </w:rPr>
        <w:t xml:space="preserve">, (384), 71–96. </w:t>
      </w:r>
      <w:hyperlink r:id="rId42" w:history="1">
        <w:r w:rsidRPr="00395962">
          <w:rPr>
            <w:rFonts w:eastAsia="Gill Sans Light"/>
            <w:color w:val="000000"/>
            <w:bdr w:val="nil"/>
            <w:lang w:val="en-US" w:eastAsia="es-ES"/>
          </w:rPr>
          <w:t>https://doi.org/10.4438/1988-592X-RE-2019-384-413</w:t>
        </w:r>
      </w:hyperlink>
      <w:r w:rsidRPr="00395962">
        <w:rPr>
          <w:rFonts w:eastAsia="Gill Sans Light"/>
          <w:color w:val="000000"/>
          <w:bdr w:val="nil"/>
          <w:lang w:val="en-US" w:eastAsia="es-ES"/>
        </w:rPr>
        <w:t xml:space="preserve">   </w:t>
      </w:r>
    </w:p>
    <w:p w14:paraId="69E4C906" w14:textId="77777777" w:rsidR="00C00B69" w:rsidRPr="00395962" w:rsidRDefault="00C00B69" w:rsidP="00C00B69">
      <w:pPr>
        <w:widowControl w:val="0"/>
        <w:pBdr>
          <w:top w:val="nil"/>
          <w:left w:val="nil"/>
          <w:bottom w:val="nil"/>
          <w:right w:val="nil"/>
          <w:between w:val="nil"/>
          <w:bar w:val="nil"/>
        </w:pBdr>
        <w:tabs>
          <w:tab w:val="right" w:pos="10337"/>
        </w:tabs>
        <w:spacing w:after="240" w:line="240" w:lineRule="auto"/>
        <w:ind w:left="709" w:hanging="709"/>
        <w:contextualSpacing/>
        <w:outlineLvl w:val="0"/>
        <w:rPr>
          <w:rFonts w:eastAsia="Gill Sans Light"/>
          <w:color w:val="232323"/>
          <w:bdr w:val="nil"/>
          <w:lang w:eastAsia="es-ES"/>
        </w:rPr>
      </w:pPr>
      <w:r w:rsidRPr="00395962">
        <w:rPr>
          <w:rFonts w:eastAsia="Gill Sans Light"/>
          <w:color w:val="232323"/>
          <w:bdr w:val="nil"/>
          <w:lang w:eastAsia="es-ES"/>
        </w:rPr>
        <w:t xml:space="preserve">Gaviria, J.L. y Castro, M. (2004). </w:t>
      </w:r>
      <w:r w:rsidRPr="00395962">
        <w:rPr>
          <w:rFonts w:eastAsia="Gill Sans Light"/>
          <w:i/>
          <w:iCs/>
          <w:color w:val="232323"/>
          <w:bdr w:val="nil"/>
          <w:lang w:eastAsia="es-ES"/>
        </w:rPr>
        <w:t xml:space="preserve">Modelos jerárquicos lineales. </w:t>
      </w:r>
      <w:r w:rsidRPr="00395962">
        <w:rPr>
          <w:rFonts w:eastAsia="Gill Sans Light"/>
          <w:color w:val="232323"/>
          <w:bdr w:val="nil"/>
          <w:lang w:eastAsia="es-ES"/>
        </w:rPr>
        <w:t>La Muralla.</w:t>
      </w:r>
    </w:p>
    <w:p w14:paraId="0900DA74" w14:textId="77777777" w:rsidR="00C00B69" w:rsidRPr="00395962" w:rsidRDefault="00C00B69" w:rsidP="00C00B69">
      <w:pPr>
        <w:widowControl w:val="0"/>
        <w:pBdr>
          <w:top w:val="nil"/>
          <w:left w:val="nil"/>
          <w:bottom w:val="nil"/>
          <w:right w:val="nil"/>
          <w:between w:val="nil"/>
          <w:bar w:val="nil"/>
        </w:pBdr>
        <w:tabs>
          <w:tab w:val="right" w:pos="10337"/>
        </w:tabs>
        <w:spacing w:before="0" w:after="240" w:line="240" w:lineRule="auto"/>
        <w:ind w:left="709" w:hanging="709"/>
        <w:contextualSpacing/>
        <w:outlineLvl w:val="0"/>
        <w:rPr>
          <w:rFonts w:eastAsia="Gill Sans Light"/>
          <w:color w:val="232323"/>
          <w:bdr w:val="nil"/>
          <w:lang w:eastAsia="es-ES"/>
        </w:rPr>
      </w:pPr>
      <w:r w:rsidRPr="00395962">
        <w:rPr>
          <w:rFonts w:eastAsia="Gill Sans Light"/>
          <w:color w:val="232323"/>
          <w:bdr w:val="nil"/>
          <w:lang w:eastAsia="es-ES"/>
        </w:rPr>
        <w:t xml:space="preserve">Goldstein, H. (2003). </w:t>
      </w:r>
      <w:proofErr w:type="spellStart"/>
      <w:r w:rsidRPr="00395962">
        <w:rPr>
          <w:rFonts w:eastAsia="Gill Sans Light"/>
          <w:i/>
          <w:iCs/>
          <w:color w:val="232323"/>
          <w:bdr w:val="nil"/>
          <w:lang w:eastAsia="es-ES"/>
        </w:rPr>
        <w:t>Multilevel</w:t>
      </w:r>
      <w:proofErr w:type="spellEnd"/>
      <w:r w:rsidRPr="00395962">
        <w:rPr>
          <w:rFonts w:eastAsia="Gill Sans Light"/>
          <w:i/>
          <w:iCs/>
          <w:color w:val="232323"/>
          <w:bdr w:val="nil"/>
          <w:lang w:eastAsia="es-ES"/>
        </w:rPr>
        <w:t xml:space="preserve"> </w:t>
      </w:r>
      <w:proofErr w:type="spellStart"/>
      <w:r w:rsidRPr="00395962">
        <w:rPr>
          <w:rFonts w:eastAsia="Gill Sans Light"/>
          <w:i/>
          <w:iCs/>
          <w:color w:val="232323"/>
          <w:bdr w:val="nil"/>
          <w:lang w:eastAsia="es-ES"/>
        </w:rPr>
        <w:t>Statistical</w:t>
      </w:r>
      <w:proofErr w:type="spellEnd"/>
      <w:r w:rsidRPr="00395962">
        <w:rPr>
          <w:rFonts w:eastAsia="Gill Sans Light"/>
          <w:i/>
          <w:iCs/>
          <w:color w:val="232323"/>
          <w:bdr w:val="nil"/>
          <w:lang w:eastAsia="es-ES"/>
        </w:rPr>
        <w:t xml:space="preserve"> </w:t>
      </w:r>
      <w:proofErr w:type="spellStart"/>
      <w:r w:rsidRPr="00395962">
        <w:rPr>
          <w:rFonts w:eastAsia="Gill Sans Light"/>
          <w:i/>
          <w:iCs/>
          <w:color w:val="232323"/>
          <w:bdr w:val="nil"/>
          <w:lang w:eastAsia="es-ES"/>
        </w:rPr>
        <w:t>Models</w:t>
      </w:r>
      <w:proofErr w:type="spellEnd"/>
      <w:r w:rsidRPr="00395962">
        <w:rPr>
          <w:rFonts w:eastAsia="Gill Sans Light"/>
          <w:color w:val="232323"/>
          <w:bdr w:val="nil"/>
          <w:lang w:eastAsia="es-ES"/>
        </w:rPr>
        <w:t xml:space="preserve">. </w:t>
      </w:r>
      <w:proofErr w:type="spellStart"/>
      <w:r w:rsidRPr="00395962">
        <w:rPr>
          <w:rFonts w:eastAsia="Gill Sans Light"/>
          <w:color w:val="232323"/>
          <w:bdr w:val="nil"/>
          <w:lang w:eastAsia="es-ES"/>
        </w:rPr>
        <w:t>Hodder</w:t>
      </w:r>
      <w:proofErr w:type="spellEnd"/>
      <w:r w:rsidRPr="00395962">
        <w:rPr>
          <w:rFonts w:eastAsia="Gill Sans Light"/>
          <w:color w:val="232323"/>
          <w:bdr w:val="nil"/>
          <w:lang w:eastAsia="es-ES"/>
        </w:rPr>
        <w:t xml:space="preserve"> Arnold.</w:t>
      </w:r>
    </w:p>
    <w:p w14:paraId="00C93D81" w14:textId="77777777" w:rsidR="00C00B69" w:rsidRPr="00395962" w:rsidRDefault="00C00B69" w:rsidP="00C00B69">
      <w:pPr>
        <w:widowControl w:val="0"/>
        <w:pBdr>
          <w:top w:val="nil"/>
          <w:left w:val="nil"/>
          <w:bottom w:val="nil"/>
          <w:right w:val="nil"/>
          <w:between w:val="nil"/>
          <w:bar w:val="nil"/>
        </w:pBdr>
        <w:tabs>
          <w:tab w:val="right" w:pos="10337"/>
        </w:tabs>
        <w:spacing w:before="0" w:after="240" w:line="240" w:lineRule="auto"/>
        <w:ind w:left="709" w:hanging="709"/>
        <w:contextualSpacing/>
        <w:outlineLvl w:val="0"/>
        <w:rPr>
          <w:rFonts w:eastAsia="Gill Sans Light"/>
          <w:color w:val="000000"/>
          <w:bdr w:val="nil"/>
          <w:lang w:val="en-US" w:eastAsia="es-ES"/>
        </w:rPr>
      </w:pPr>
      <w:proofErr w:type="spellStart"/>
      <w:r w:rsidRPr="00395962">
        <w:rPr>
          <w:rFonts w:eastAsia="Gill Sans Light"/>
          <w:color w:val="000000"/>
          <w:bdr w:val="nil"/>
          <w:lang w:val="en-US" w:eastAsia="es-ES"/>
        </w:rPr>
        <w:t>Haughbrook</w:t>
      </w:r>
      <w:proofErr w:type="spellEnd"/>
      <w:r w:rsidRPr="00395962">
        <w:rPr>
          <w:rFonts w:eastAsia="Gill Sans Light"/>
          <w:color w:val="000000"/>
          <w:bdr w:val="nil"/>
          <w:lang w:val="en-US" w:eastAsia="es-ES"/>
        </w:rPr>
        <w:t xml:space="preserve">, R., Hart, S. A., Schatschneider, C. y Taylor, J. (2017). </w:t>
      </w:r>
      <w:proofErr w:type="spellStart"/>
      <w:r w:rsidRPr="00395962">
        <w:rPr>
          <w:rFonts w:eastAsia="Gill Sans Light"/>
          <w:color w:val="000000"/>
          <w:bdr w:val="nil"/>
          <w:lang w:eastAsia="es-ES"/>
        </w:rPr>
        <w:t>Genetic</w:t>
      </w:r>
      <w:proofErr w:type="spellEnd"/>
      <w:r w:rsidRPr="00395962">
        <w:rPr>
          <w:rFonts w:eastAsia="Gill Sans Light"/>
          <w:color w:val="000000"/>
          <w:bdr w:val="nil"/>
          <w:lang w:eastAsia="es-ES"/>
        </w:rPr>
        <w:t xml:space="preserve"> and </w:t>
      </w:r>
      <w:proofErr w:type="spellStart"/>
      <w:r w:rsidRPr="00395962">
        <w:rPr>
          <w:rFonts w:eastAsia="Gill Sans Light"/>
          <w:color w:val="000000"/>
          <w:bdr w:val="nil"/>
          <w:lang w:eastAsia="es-ES"/>
        </w:rPr>
        <w:t>environmental</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influences</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on</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early</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literacy</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skills</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across</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school</w:t>
      </w:r>
      <w:proofErr w:type="spellEnd"/>
      <w:r w:rsidRPr="00395962">
        <w:rPr>
          <w:rFonts w:eastAsia="Gill Sans Light"/>
          <w:color w:val="000000"/>
          <w:bdr w:val="nil"/>
          <w:lang w:eastAsia="es-ES"/>
        </w:rPr>
        <w:t xml:space="preserve"> grade </w:t>
      </w:r>
      <w:proofErr w:type="spellStart"/>
      <w:r w:rsidRPr="00395962">
        <w:rPr>
          <w:rFonts w:eastAsia="Gill Sans Light"/>
          <w:color w:val="000000"/>
          <w:bdr w:val="nil"/>
          <w:lang w:eastAsia="es-ES"/>
        </w:rPr>
        <w:t>contexts</w:t>
      </w:r>
      <w:proofErr w:type="spellEnd"/>
      <w:r w:rsidRPr="00395962">
        <w:rPr>
          <w:rFonts w:eastAsia="Gill Sans Light"/>
          <w:color w:val="000000"/>
          <w:bdr w:val="nil"/>
          <w:lang w:eastAsia="es-ES"/>
        </w:rPr>
        <w:t xml:space="preserve">. </w:t>
      </w:r>
      <w:r w:rsidRPr="00395962">
        <w:rPr>
          <w:rFonts w:eastAsia="Gill Sans Light"/>
          <w:i/>
          <w:iCs/>
          <w:color w:val="000000"/>
          <w:bdr w:val="nil"/>
          <w:lang w:val="en-US" w:eastAsia="es-ES"/>
        </w:rPr>
        <w:t>Developmental Science, 20</w:t>
      </w:r>
      <w:r w:rsidRPr="00395962">
        <w:rPr>
          <w:rFonts w:eastAsia="Gill Sans Light"/>
          <w:color w:val="000000"/>
          <w:bdr w:val="nil"/>
          <w:lang w:val="en-US" w:eastAsia="es-ES"/>
        </w:rPr>
        <w:t xml:space="preserve">(5), 1–12. </w:t>
      </w:r>
      <w:hyperlink r:id="rId43" w:history="1">
        <w:r w:rsidRPr="00395962">
          <w:rPr>
            <w:rFonts w:eastAsia="Gill Sans Light"/>
            <w:color w:val="000000"/>
            <w:bdr w:val="nil"/>
            <w:lang w:val="en-US" w:eastAsia="es-ES"/>
          </w:rPr>
          <w:t>https://doi.org/10.1111/desc.12434</w:t>
        </w:r>
      </w:hyperlink>
    </w:p>
    <w:p w14:paraId="43493B88" w14:textId="77777777" w:rsidR="00C00B69" w:rsidRPr="00395962" w:rsidRDefault="00C00B69" w:rsidP="00C00B69">
      <w:pPr>
        <w:widowControl w:val="0"/>
        <w:pBdr>
          <w:top w:val="nil"/>
          <w:left w:val="nil"/>
          <w:bottom w:val="nil"/>
          <w:right w:val="nil"/>
          <w:between w:val="nil"/>
          <w:bar w:val="nil"/>
        </w:pBdr>
        <w:tabs>
          <w:tab w:val="right" w:pos="10337"/>
        </w:tabs>
        <w:spacing w:before="0" w:after="240" w:line="240" w:lineRule="auto"/>
        <w:ind w:left="709" w:hanging="709"/>
        <w:contextualSpacing/>
        <w:outlineLvl w:val="0"/>
        <w:rPr>
          <w:rFonts w:eastAsia="Gill Sans Light"/>
          <w:color w:val="000000"/>
          <w:bdr w:val="nil"/>
          <w:lang w:eastAsia="es-ES"/>
        </w:rPr>
      </w:pPr>
      <w:r w:rsidRPr="00395962">
        <w:rPr>
          <w:rFonts w:eastAsia="Gill Sans Light"/>
          <w:color w:val="000000"/>
          <w:bdr w:val="nil"/>
          <w:lang w:val="en-US" w:eastAsia="es-ES"/>
        </w:rPr>
        <w:t xml:space="preserve">Hogrebe, N. y </w:t>
      </w:r>
      <w:proofErr w:type="spellStart"/>
      <w:r w:rsidRPr="00395962">
        <w:rPr>
          <w:rFonts w:eastAsia="Gill Sans Light"/>
          <w:color w:val="000000"/>
          <w:bdr w:val="nil"/>
          <w:lang w:val="en-US" w:eastAsia="es-ES"/>
        </w:rPr>
        <w:t>Strietholt</w:t>
      </w:r>
      <w:proofErr w:type="spellEnd"/>
      <w:r w:rsidRPr="00395962">
        <w:rPr>
          <w:rFonts w:eastAsia="Gill Sans Light"/>
          <w:color w:val="000000"/>
          <w:bdr w:val="nil"/>
          <w:lang w:val="en-US" w:eastAsia="es-ES"/>
        </w:rPr>
        <w:t xml:space="preserve">, R. (2016). Does non‑participation in preschool affect children’s reading achievement? </w:t>
      </w:r>
      <w:r w:rsidRPr="00395962">
        <w:rPr>
          <w:rFonts w:eastAsia="Gill Sans Light"/>
          <w:color w:val="000000"/>
          <w:bdr w:val="nil"/>
          <w:lang w:eastAsia="es-ES"/>
        </w:rPr>
        <w:t xml:space="preserve">International </w:t>
      </w:r>
      <w:proofErr w:type="spellStart"/>
      <w:r w:rsidRPr="00395962">
        <w:rPr>
          <w:rFonts w:eastAsia="Gill Sans Light"/>
          <w:color w:val="000000"/>
          <w:bdr w:val="nil"/>
          <w:lang w:eastAsia="es-ES"/>
        </w:rPr>
        <w:t>evidence</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from</w:t>
      </w:r>
      <w:proofErr w:type="spellEnd"/>
      <w:r w:rsidRPr="00395962">
        <w:rPr>
          <w:rFonts w:eastAsia="Gill Sans Light"/>
          <w:color w:val="000000"/>
          <w:bdr w:val="nil"/>
          <w:lang w:eastAsia="es-ES"/>
        </w:rPr>
        <w:t xml:space="preserve"> </w:t>
      </w:r>
      <w:proofErr w:type="spellStart"/>
      <w:r w:rsidRPr="00395962">
        <w:rPr>
          <w:rFonts w:eastAsia="Gill Sans Light"/>
          <w:color w:val="000000"/>
          <w:bdr w:val="nil"/>
          <w:lang w:eastAsia="es-ES"/>
        </w:rPr>
        <w:t>propensity</w:t>
      </w:r>
      <w:proofErr w:type="spellEnd"/>
      <w:r w:rsidRPr="00395962">
        <w:rPr>
          <w:rFonts w:eastAsia="Gill Sans Light"/>
          <w:color w:val="000000"/>
          <w:bdr w:val="nil"/>
          <w:lang w:eastAsia="es-ES"/>
        </w:rPr>
        <w:t xml:space="preserve"> score </w:t>
      </w:r>
      <w:proofErr w:type="spellStart"/>
      <w:r w:rsidRPr="00395962">
        <w:rPr>
          <w:rFonts w:eastAsia="Gill Sans Light"/>
          <w:color w:val="000000"/>
          <w:bdr w:val="nil"/>
          <w:lang w:eastAsia="es-ES"/>
        </w:rPr>
        <w:t>analyses</w:t>
      </w:r>
      <w:proofErr w:type="spellEnd"/>
      <w:r w:rsidRPr="00395962">
        <w:rPr>
          <w:rFonts w:eastAsia="Gill Sans Light"/>
          <w:color w:val="000000"/>
          <w:bdr w:val="nil"/>
          <w:lang w:eastAsia="es-ES"/>
        </w:rPr>
        <w:t xml:space="preserve">. </w:t>
      </w:r>
      <w:r w:rsidRPr="00395962">
        <w:rPr>
          <w:rFonts w:eastAsia="Gill Sans Light"/>
          <w:i/>
          <w:iCs/>
          <w:color w:val="000000"/>
          <w:bdr w:val="nil"/>
          <w:lang w:val="en-US" w:eastAsia="es-ES"/>
        </w:rPr>
        <w:t>Large-scale Assessments in Education, 4</w:t>
      </w:r>
      <w:r w:rsidRPr="00395962">
        <w:rPr>
          <w:rFonts w:eastAsia="Gill Sans Light"/>
          <w:color w:val="000000"/>
          <w:bdr w:val="nil"/>
          <w:lang w:val="en-US" w:eastAsia="es-ES"/>
        </w:rPr>
        <w:t>(2), 1–22.</w:t>
      </w:r>
      <w:r w:rsidRPr="00395962">
        <w:rPr>
          <w:rFonts w:eastAsia="Gill Sans Light"/>
          <w:color w:val="000000"/>
          <w:bdr w:val="nil"/>
          <w:shd w:val="clear" w:color="auto" w:fill="FCFCFC"/>
          <w:lang w:val="en-US" w:eastAsia="es-ES"/>
        </w:rPr>
        <w:t> </w:t>
      </w:r>
      <w:hyperlink r:id="rId44" w:history="1">
        <w:r w:rsidRPr="00395962">
          <w:rPr>
            <w:rFonts w:eastAsia="Gill Sans Light"/>
            <w:color w:val="000000"/>
            <w:bdr w:val="nil"/>
            <w:shd w:val="clear" w:color="auto" w:fill="FCFCFC"/>
            <w:lang w:eastAsia="es-ES"/>
          </w:rPr>
          <w:t>https://doi.org/10.1186/s40536-016-0017-3</w:t>
        </w:r>
      </w:hyperlink>
    </w:p>
    <w:p w14:paraId="6B7D96B0"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eastAsia="es-ES"/>
        </w:rPr>
      </w:pPr>
      <w:r w:rsidRPr="00395962">
        <w:rPr>
          <w:color w:val="000000"/>
          <w:bdr w:val="nil"/>
          <w:shd w:val="clear" w:color="auto" w:fill="FCFCFC"/>
          <w:lang w:eastAsia="es-ES"/>
        </w:rPr>
        <w:t xml:space="preserve">Jensen, M. T., </w:t>
      </w:r>
      <w:proofErr w:type="spellStart"/>
      <w:r w:rsidRPr="00395962">
        <w:rPr>
          <w:color w:val="000000"/>
          <w:bdr w:val="nil"/>
          <w:shd w:val="clear" w:color="auto" w:fill="FCFCFC"/>
          <w:lang w:eastAsia="es-ES"/>
        </w:rPr>
        <w:t>Solheim</w:t>
      </w:r>
      <w:proofErr w:type="spellEnd"/>
      <w:r w:rsidRPr="00395962">
        <w:rPr>
          <w:color w:val="000000"/>
          <w:bdr w:val="nil"/>
          <w:shd w:val="clear" w:color="auto" w:fill="FCFCFC"/>
          <w:lang w:eastAsia="es-ES"/>
        </w:rPr>
        <w:t xml:space="preserve">, O. J. y </w:t>
      </w:r>
      <w:proofErr w:type="spellStart"/>
      <w:r w:rsidRPr="00395962">
        <w:rPr>
          <w:color w:val="000000"/>
          <w:bdr w:val="nil"/>
          <w:shd w:val="clear" w:color="auto" w:fill="FCFCFC"/>
          <w:lang w:eastAsia="es-ES"/>
        </w:rPr>
        <w:t>Cosmovici</w:t>
      </w:r>
      <w:proofErr w:type="spellEnd"/>
      <w:r w:rsidRPr="00395962">
        <w:rPr>
          <w:color w:val="000000"/>
          <w:bdr w:val="nil"/>
          <w:shd w:val="clear" w:color="auto" w:fill="FCFCFC"/>
          <w:lang w:eastAsia="es-ES"/>
        </w:rPr>
        <w:t xml:space="preserve">, E. M. (2019). </w:t>
      </w:r>
      <w:r w:rsidRPr="00395962">
        <w:rPr>
          <w:color w:val="000000"/>
          <w:bdr w:val="nil"/>
          <w:lang w:val="en-US" w:eastAsia="es-ES"/>
        </w:rPr>
        <w:t>Do you read me? Associations between perceived teacher emotional support, reader self‑concept, and reading achievement</w:t>
      </w:r>
      <w:r w:rsidRPr="00395962">
        <w:rPr>
          <w:color w:val="000000"/>
          <w:bdr w:val="nil"/>
          <w:lang w:eastAsia="es-ES"/>
        </w:rPr>
        <w:t xml:space="preserve">. </w:t>
      </w:r>
      <w:r w:rsidRPr="00395962">
        <w:rPr>
          <w:i/>
          <w:iCs/>
          <w:color w:val="000000"/>
          <w:bdr w:val="nil"/>
          <w:lang w:val="en-US" w:eastAsia="es-ES"/>
        </w:rPr>
        <w:t>Social Psychology of Education, 22</w:t>
      </w:r>
      <w:r w:rsidRPr="00395962">
        <w:rPr>
          <w:color w:val="000000"/>
          <w:bdr w:val="nil"/>
          <w:lang w:val="en-US" w:eastAsia="es-ES"/>
        </w:rPr>
        <w:t xml:space="preserve">(2), 247–266. </w:t>
      </w:r>
      <w:hyperlink r:id="rId45" w:history="1">
        <w:r w:rsidRPr="00395962">
          <w:rPr>
            <w:color w:val="000000"/>
            <w:bdr w:val="nil"/>
            <w:lang w:val="en-US" w:eastAsia="es-ES"/>
          </w:rPr>
          <w:t>https://doi.org/10.1007/s11218-018-9475-5</w:t>
        </w:r>
      </w:hyperlink>
      <w:r w:rsidRPr="00395962">
        <w:rPr>
          <w:color w:val="000000"/>
          <w:bdr w:val="nil"/>
          <w:lang w:val="en-US" w:eastAsia="es-ES"/>
        </w:rPr>
        <w:t xml:space="preserve"> </w:t>
      </w:r>
    </w:p>
    <w:p w14:paraId="4C0AD1C7"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val="en-US" w:eastAsia="es-ES"/>
        </w:rPr>
      </w:pPr>
      <w:r w:rsidRPr="00395962">
        <w:rPr>
          <w:color w:val="000000"/>
          <w:bdr w:val="nil"/>
          <w:shd w:val="clear" w:color="auto" w:fill="FCFCFC"/>
          <w:lang w:val="en-US" w:eastAsia="es-ES"/>
        </w:rPr>
        <w:t xml:space="preserve">Kaminski, R. A. y Powell-Smith, K. A. (2017). </w:t>
      </w:r>
      <w:proofErr w:type="spellStart"/>
      <w:r w:rsidRPr="00395962">
        <w:rPr>
          <w:color w:val="000000"/>
          <w:bdr w:val="nil"/>
          <w:lang w:eastAsia="es-ES"/>
        </w:rPr>
        <w:t>Early</w:t>
      </w:r>
      <w:proofErr w:type="spellEnd"/>
      <w:r w:rsidRPr="00395962">
        <w:rPr>
          <w:color w:val="000000"/>
          <w:bdr w:val="nil"/>
          <w:lang w:eastAsia="es-ES"/>
        </w:rPr>
        <w:t xml:space="preserve"> </w:t>
      </w:r>
      <w:proofErr w:type="spellStart"/>
      <w:r w:rsidRPr="00395962">
        <w:rPr>
          <w:color w:val="000000"/>
          <w:bdr w:val="nil"/>
          <w:lang w:eastAsia="es-ES"/>
        </w:rPr>
        <w:t>literacy</w:t>
      </w:r>
      <w:proofErr w:type="spellEnd"/>
      <w:r w:rsidRPr="00395962">
        <w:rPr>
          <w:color w:val="000000"/>
          <w:bdr w:val="nil"/>
          <w:lang w:eastAsia="es-ES"/>
        </w:rPr>
        <w:t xml:space="preserve"> </w:t>
      </w:r>
      <w:proofErr w:type="spellStart"/>
      <w:r w:rsidRPr="00395962">
        <w:rPr>
          <w:color w:val="000000"/>
          <w:bdr w:val="nil"/>
          <w:lang w:eastAsia="es-ES"/>
        </w:rPr>
        <w:t>intervention</w:t>
      </w:r>
      <w:proofErr w:type="spellEnd"/>
      <w:r w:rsidRPr="00395962">
        <w:rPr>
          <w:color w:val="000000"/>
          <w:bdr w:val="nil"/>
          <w:lang w:eastAsia="es-ES"/>
        </w:rPr>
        <w:t xml:space="preserve"> </w:t>
      </w:r>
      <w:proofErr w:type="spellStart"/>
      <w:r w:rsidRPr="00395962">
        <w:rPr>
          <w:color w:val="000000"/>
          <w:bdr w:val="nil"/>
          <w:lang w:eastAsia="es-ES"/>
        </w:rPr>
        <w:t>for</w:t>
      </w:r>
      <w:proofErr w:type="spellEnd"/>
      <w:r w:rsidRPr="00395962">
        <w:rPr>
          <w:color w:val="000000"/>
          <w:bdr w:val="nil"/>
          <w:lang w:eastAsia="es-ES"/>
        </w:rPr>
        <w:t xml:space="preserve"> </w:t>
      </w:r>
      <w:proofErr w:type="spellStart"/>
      <w:r w:rsidRPr="00395962">
        <w:rPr>
          <w:color w:val="000000"/>
          <w:bdr w:val="nil"/>
          <w:lang w:eastAsia="es-ES"/>
        </w:rPr>
        <w:t>preschoolers</w:t>
      </w:r>
      <w:proofErr w:type="spellEnd"/>
      <w:r w:rsidRPr="00395962">
        <w:rPr>
          <w:color w:val="000000"/>
          <w:bdr w:val="nil"/>
          <w:lang w:eastAsia="es-ES"/>
        </w:rPr>
        <w:t xml:space="preserve"> </w:t>
      </w:r>
      <w:proofErr w:type="spellStart"/>
      <w:r w:rsidRPr="00395962">
        <w:rPr>
          <w:color w:val="000000"/>
          <w:bdr w:val="nil"/>
          <w:lang w:eastAsia="es-ES"/>
        </w:rPr>
        <w:t>who</w:t>
      </w:r>
      <w:proofErr w:type="spellEnd"/>
      <w:r w:rsidRPr="00395962">
        <w:rPr>
          <w:color w:val="000000"/>
          <w:bdr w:val="nil"/>
          <w:lang w:eastAsia="es-ES"/>
        </w:rPr>
        <w:t xml:space="preserve"> </w:t>
      </w:r>
      <w:proofErr w:type="spellStart"/>
      <w:r w:rsidRPr="00395962">
        <w:rPr>
          <w:color w:val="000000"/>
          <w:bdr w:val="nil"/>
          <w:lang w:eastAsia="es-ES"/>
        </w:rPr>
        <w:t>need</w:t>
      </w:r>
      <w:proofErr w:type="spellEnd"/>
      <w:r w:rsidRPr="00395962">
        <w:rPr>
          <w:color w:val="000000"/>
          <w:bdr w:val="nil"/>
          <w:lang w:eastAsia="es-ES"/>
        </w:rPr>
        <w:t xml:space="preserve"> </w:t>
      </w:r>
      <w:proofErr w:type="spellStart"/>
      <w:r w:rsidRPr="00395962">
        <w:rPr>
          <w:color w:val="000000"/>
          <w:bdr w:val="nil"/>
          <w:lang w:eastAsia="es-ES"/>
        </w:rPr>
        <w:t>tier</w:t>
      </w:r>
      <w:proofErr w:type="spellEnd"/>
      <w:r w:rsidRPr="00395962">
        <w:rPr>
          <w:color w:val="000000"/>
          <w:bdr w:val="nil"/>
          <w:lang w:eastAsia="es-ES"/>
        </w:rPr>
        <w:t xml:space="preserve"> 3 </w:t>
      </w:r>
      <w:proofErr w:type="spellStart"/>
      <w:r w:rsidRPr="00395962">
        <w:rPr>
          <w:color w:val="000000"/>
          <w:bdr w:val="nil"/>
          <w:lang w:eastAsia="es-ES"/>
        </w:rPr>
        <w:t>support</w:t>
      </w:r>
      <w:proofErr w:type="spellEnd"/>
      <w:r w:rsidRPr="00395962">
        <w:rPr>
          <w:color w:val="000000"/>
          <w:bdr w:val="nil"/>
          <w:lang w:eastAsia="es-ES"/>
        </w:rPr>
        <w:t xml:space="preserve">. </w:t>
      </w:r>
      <w:r w:rsidRPr="00395962">
        <w:rPr>
          <w:i/>
          <w:iCs/>
          <w:color w:val="000000"/>
          <w:bdr w:val="nil"/>
          <w:lang w:val="en-US" w:eastAsia="es-ES"/>
        </w:rPr>
        <w:t>Topics in Early Childhood Special Education, 36</w:t>
      </w:r>
      <w:r w:rsidRPr="00395962">
        <w:rPr>
          <w:color w:val="000000"/>
          <w:bdr w:val="nil"/>
          <w:lang w:val="en-US" w:eastAsia="es-ES"/>
        </w:rPr>
        <w:t xml:space="preserve">(4), 205–217. </w:t>
      </w:r>
      <w:hyperlink r:id="rId46" w:history="1">
        <w:r w:rsidRPr="00395962">
          <w:rPr>
            <w:color w:val="000000"/>
            <w:bdr w:val="nil"/>
            <w:lang w:val="en-US" w:eastAsia="es-ES"/>
          </w:rPr>
          <w:t>https://doi.org/10.1177/0271121416642454</w:t>
        </w:r>
      </w:hyperlink>
      <w:r w:rsidRPr="00395962">
        <w:rPr>
          <w:color w:val="000000"/>
          <w:bdr w:val="nil"/>
          <w:lang w:val="en-US" w:eastAsia="es-ES"/>
        </w:rPr>
        <w:t xml:space="preserve"> </w:t>
      </w:r>
    </w:p>
    <w:p w14:paraId="561E923D"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shd w:val="clear" w:color="auto" w:fill="FFFFFF"/>
          <w:lang w:val="en-US" w:eastAsia="es-ES"/>
        </w:rPr>
      </w:pPr>
      <w:r w:rsidRPr="00395962">
        <w:rPr>
          <w:color w:val="000000"/>
          <w:bdr w:val="nil"/>
          <w:lang w:val="en-US" w:eastAsia="es-ES"/>
        </w:rPr>
        <w:t xml:space="preserve">Lavy, V. (2020). </w:t>
      </w:r>
      <w:proofErr w:type="spellStart"/>
      <w:r w:rsidRPr="00395962">
        <w:rPr>
          <w:color w:val="000000"/>
          <w:bdr w:val="nil"/>
          <w:lang w:eastAsia="es-ES"/>
        </w:rPr>
        <w:t>Expanding</w:t>
      </w:r>
      <w:proofErr w:type="spellEnd"/>
      <w:r w:rsidRPr="00395962">
        <w:rPr>
          <w:color w:val="000000"/>
          <w:bdr w:val="nil"/>
          <w:lang w:eastAsia="es-ES"/>
        </w:rPr>
        <w:t xml:space="preserve"> </w:t>
      </w:r>
      <w:proofErr w:type="spellStart"/>
      <w:r w:rsidRPr="00395962">
        <w:rPr>
          <w:color w:val="000000"/>
          <w:bdr w:val="nil"/>
          <w:shd w:val="clear" w:color="auto" w:fill="FFFFFF"/>
          <w:lang w:eastAsia="es-ES"/>
        </w:rPr>
        <w:t>school</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resources</w:t>
      </w:r>
      <w:proofErr w:type="spellEnd"/>
      <w:r w:rsidRPr="00395962">
        <w:rPr>
          <w:color w:val="000000"/>
          <w:bdr w:val="nil"/>
          <w:shd w:val="clear" w:color="auto" w:fill="FFFFFF"/>
          <w:lang w:eastAsia="es-ES"/>
        </w:rPr>
        <w:t xml:space="preserve"> and </w:t>
      </w:r>
      <w:proofErr w:type="spellStart"/>
      <w:r w:rsidRPr="00395962">
        <w:rPr>
          <w:color w:val="000000"/>
          <w:bdr w:val="nil"/>
          <w:shd w:val="clear" w:color="auto" w:fill="FFFFFF"/>
          <w:lang w:eastAsia="es-ES"/>
        </w:rPr>
        <w:t>increasing</w:t>
      </w:r>
      <w:proofErr w:type="spellEnd"/>
      <w:r w:rsidRPr="00395962">
        <w:rPr>
          <w:color w:val="000000"/>
          <w:bdr w:val="nil"/>
          <w:shd w:val="clear" w:color="auto" w:fill="FFFFFF"/>
          <w:lang w:eastAsia="es-ES"/>
        </w:rPr>
        <w:t xml:space="preserve"> time </w:t>
      </w:r>
      <w:proofErr w:type="spellStart"/>
      <w:r w:rsidRPr="00395962">
        <w:rPr>
          <w:color w:val="000000"/>
          <w:bdr w:val="nil"/>
          <w:shd w:val="clear" w:color="auto" w:fill="FFFFFF"/>
          <w:lang w:eastAsia="es-ES"/>
        </w:rPr>
        <w:t>on</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task</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Effects</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on</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students</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academic</w:t>
      </w:r>
      <w:proofErr w:type="spellEnd"/>
      <w:r w:rsidRPr="00395962">
        <w:rPr>
          <w:color w:val="000000"/>
          <w:bdr w:val="nil"/>
          <w:shd w:val="clear" w:color="auto" w:fill="FFFFFF"/>
          <w:lang w:eastAsia="es-ES"/>
        </w:rPr>
        <w:t xml:space="preserve"> and </w:t>
      </w:r>
      <w:proofErr w:type="spellStart"/>
      <w:r w:rsidRPr="00395962">
        <w:rPr>
          <w:color w:val="000000"/>
          <w:bdr w:val="nil"/>
          <w:shd w:val="clear" w:color="auto" w:fill="FFFFFF"/>
          <w:lang w:eastAsia="es-ES"/>
        </w:rPr>
        <w:t>noncognitive</w:t>
      </w:r>
      <w:proofErr w:type="spellEnd"/>
      <w:r w:rsidRPr="00395962">
        <w:rPr>
          <w:color w:val="000000"/>
          <w:bdr w:val="nil"/>
          <w:shd w:val="clear" w:color="auto" w:fill="FFFFFF"/>
          <w:lang w:eastAsia="es-ES"/>
        </w:rPr>
        <w:t xml:space="preserve"> </w:t>
      </w:r>
      <w:proofErr w:type="spellStart"/>
      <w:r w:rsidRPr="00395962">
        <w:rPr>
          <w:color w:val="000000"/>
          <w:bdr w:val="nil"/>
          <w:shd w:val="clear" w:color="auto" w:fill="FFFFFF"/>
          <w:lang w:eastAsia="es-ES"/>
        </w:rPr>
        <w:t>outcomes</w:t>
      </w:r>
      <w:proofErr w:type="spellEnd"/>
      <w:r w:rsidRPr="00395962">
        <w:rPr>
          <w:color w:val="000000"/>
          <w:bdr w:val="nil"/>
          <w:shd w:val="clear" w:color="auto" w:fill="FFFFFF"/>
          <w:lang w:eastAsia="es-ES"/>
        </w:rPr>
        <w:t xml:space="preserve">. </w:t>
      </w:r>
      <w:r w:rsidRPr="00395962">
        <w:rPr>
          <w:i/>
          <w:iCs/>
          <w:color w:val="000000"/>
          <w:bdr w:val="nil"/>
          <w:shd w:val="clear" w:color="auto" w:fill="FFFFFF"/>
          <w:lang w:val="en-US" w:eastAsia="es-ES"/>
        </w:rPr>
        <w:t>Journal of the European Association, 18</w:t>
      </w:r>
      <w:r w:rsidRPr="00395962">
        <w:rPr>
          <w:color w:val="000000"/>
          <w:bdr w:val="nil"/>
          <w:shd w:val="clear" w:color="auto" w:fill="FFFFFF"/>
          <w:lang w:val="en-US" w:eastAsia="es-ES"/>
        </w:rPr>
        <w:t xml:space="preserve">(1), 232–265. </w:t>
      </w:r>
      <w:hyperlink r:id="rId47" w:history="1">
        <w:r w:rsidRPr="00395962">
          <w:rPr>
            <w:color w:val="000000"/>
            <w:bdr w:val="nil"/>
            <w:shd w:val="clear" w:color="auto" w:fill="FFFFFF"/>
            <w:lang w:val="en-US" w:eastAsia="es-ES"/>
          </w:rPr>
          <w:t>https://doi.org/10.1093/jeea/jvy054</w:t>
        </w:r>
      </w:hyperlink>
      <w:r w:rsidRPr="00395962">
        <w:rPr>
          <w:color w:val="000000"/>
          <w:bdr w:val="nil"/>
          <w:shd w:val="clear" w:color="auto" w:fill="FFFFFF"/>
          <w:lang w:val="en-US" w:eastAsia="es-ES"/>
        </w:rPr>
        <w:t xml:space="preserve"> </w:t>
      </w:r>
    </w:p>
    <w:p w14:paraId="6DDD0AEB"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val="en-US" w:eastAsia="es-ES"/>
        </w:rPr>
      </w:pPr>
      <w:r w:rsidRPr="00395962">
        <w:rPr>
          <w:color w:val="000000"/>
          <w:bdr w:val="nil"/>
          <w:lang w:eastAsia="es-ES"/>
        </w:rPr>
        <w:t xml:space="preserve">Lee, M., Lam, B. y </w:t>
      </w:r>
      <w:proofErr w:type="spellStart"/>
      <w:r w:rsidRPr="00395962">
        <w:rPr>
          <w:color w:val="000000"/>
          <w:bdr w:val="nil"/>
          <w:lang w:eastAsia="es-ES"/>
        </w:rPr>
        <w:t>Madyun</w:t>
      </w:r>
      <w:proofErr w:type="spellEnd"/>
      <w:r w:rsidRPr="00395962">
        <w:rPr>
          <w:color w:val="000000"/>
          <w:bdr w:val="nil"/>
          <w:lang w:eastAsia="es-ES"/>
        </w:rPr>
        <w:t xml:space="preserve">, N. (2015). </w:t>
      </w:r>
      <w:proofErr w:type="spellStart"/>
      <w:r w:rsidRPr="00395962">
        <w:rPr>
          <w:color w:val="000000"/>
          <w:bdr w:val="nil"/>
          <w:lang w:eastAsia="es-ES"/>
        </w:rPr>
        <w:t>Effects</w:t>
      </w:r>
      <w:proofErr w:type="spellEnd"/>
      <w:r w:rsidRPr="00395962">
        <w:rPr>
          <w:color w:val="000000"/>
          <w:bdr w:val="nil"/>
          <w:lang w:eastAsia="es-ES"/>
        </w:rPr>
        <w:t xml:space="preserve"> of </w:t>
      </w:r>
      <w:proofErr w:type="spellStart"/>
      <w:r w:rsidRPr="00395962">
        <w:rPr>
          <w:color w:val="000000"/>
          <w:bdr w:val="nil"/>
          <w:lang w:eastAsia="es-ES"/>
        </w:rPr>
        <w:t>different-race</w:t>
      </w:r>
      <w:proofErr w:type="spellEnd"/>
      <w:r w:rsidRPr="00395962">
        <w:rPr>
          <w:color w:val="000000"/>
          <w:bdr w:val="nil"/>
          <w:lang w:eastAsia="es-ES"/>
        </w:rPr>
        <w:t xml:space="preserve"> </w:t>
      </w:r>
      <w:proofErr w:type="spellStart"/>
      <w:r w:rsidRPr="00395962">
        <w:rPr>
          <w:color w:val="000000"/>
          <w:bdr w:val="nil"/>
          <w:lang w:eastAsia="es-ES"/>
        </w:rPr>
        <w:t>exposure</w:t>
      </w:r>
      <w:proofErr w:type="spellEnd"/>
      <w:r w:rsidRPr="00395962">
        <w:rPr>
          <w:color w:val="000000"/>
          <w:bdr w:val="nil"/>
          <w:lang w:eastAsia="es-ES"/>
        </w:rPr>
        <w:t xml:space="preserve"> in </w:t>
      </w:r>
      <w:proofErr w:type="spellStart"/>
      <w:r w:rsidRPr="00395962">
        <w:rPr>
          <w:color w:val="000000"/>
          <w:bdr w:val="nil"/>
          <w:lang w:eastAsia="es-ES"/>
        </w:rPr>
        <w:t>school</w:t>
      </w:r>
      <w:proofErr w:type="spellEnd"/>
      <w:r w:rsidRPr="00395962">
        <w:rPr>
          <w:color w:val="000000"/>
          <w:bdr w:val="nil"/>
          <w:lang w:eastAsia="es-ES"/>
        </w:rPr>
        <w:t xml:space="preserve"> and </w:t>
      </w:r>
      <w:proofErr w:type="spellStart"/>
      <w:r w:rsidRPr="00395962">
        <w:rPr>
          <w:color w:val="000000"/>
          <w:bdr w:val="nil"/>
          <w:lang w:eastAsia="es-ES"/>
        </w:rPr>
        <w:t>neighborhood</w:t>
      </w:r>
      <w:proofErr w:type="spellEnd"/>
      <w:r w:rsidRPr="00395962">
        <w:rPr>
          <w:color w:val="000000"/>
          <w:bdr w:val="nil"/>
          <w:lang w:eastAsia="es-ES"/>
        </w:rPr>
        <w:t xml:space="preserve"> </w:t>
      </w:r>
      <w:proofErr w:type="spellStart"/>
      <w:r w:rsidRPr="00395962">
        <w:rPr>
          <w:color w:val="000000"/>
          <w:bdr w:val="nil"/>
          <w:lang w:eastAsia="es-ES"/>
        </w:rPr>
        <w:t>on</w:t>
      </w:r>
      <w:proofErr w:type="spellEnd"/>
      <w:r w:rsidRPr="00395962">
        <w:rPr>
          <w:color w:val="000000"/>
          <w:bdr w:val="nil"/>
          <w:lang w:eastAsia="es-ES"/>
        </w:rPr>
        <w:t xml:space="preserve"> </w:t>
      </w:r>
      <w:proofErr w:type="spellStart"/>
      <w:r w:rsidRPr="00395962">
        <w:rPr>
          <w:color w:val="000000"/>
          <w:bdr w:val="nil"/>
          <w:lang w:eastAsia="es-ES"/>
        </w:rPr>
        <w:t>the</w:t>
      </w:r>
      <w:proofErr w:type="spellEnd"/>
      <w:r w:rsidRPr="00395962">
        <w:rPr>
          <w:color w:val="000000"/>
          <w:bdr w:val="nil"/>
          <w:lang w:eastAsia="es-ES"/>
        </w:rPr>
        <w:t xml:space="preserve"> </w:t>
      </w:r>
      <w:proofErr w:type="spellStart"/>
      <w:r w:rsidRPr="00395962">
        <w:rPr>
          <w:color w:val="000000"/>
          <w:bdr w:val="nil"/>
          <w:lang w:eastAsia="es-ES"/>
        </w:rPr>
        <w:t>reading</w:t>
      </w:r>
      <w:proofErr w:type="spellEnd"/>
      <w:r w:rsidRPr="00395962">
        <w:rPr>
          <w:color w:val="000000"/>
          <w:bdr w:val="nil"/>
          <w:lang w:eastAsia="es-ES"/>
        </w:rPr>
        <w:t xml:space="preserve"> </w:t>
      </w:r>
      <w:proofErr w:type="spellStart"/>
      <w:r w:rsidRPr="00395962">
        <w:rPr>
          <w:color w:val="000000"/>
          <w:bdr w:val="nil"/>
          <w:lang w:eastAsia="es-ES"/>
        </w:rPr>
        <w:t>achievement</w:t>
      </w:r>
      <w:proofErr w:type="spellEnd"/>
      <w:r w:rsidRPr="00395962">
        <w:rPr>
          <w:color w:val="000000"/>
          <w:bdr w:val="nil"/>
          <w:lang w:eastAsia="es-ES"/>
        </w:rPr>
        <w:t xml:space="preserve"> </w:t>
      </w:r>
      <w:proofErr w:type="spellStart"/>
      <w:r w:rsidRPr="00395962">
        <w:rPr>
          <w:color w:val="000000"/>
          <w:bdr w:val="nil"/>
          <w:lang w:eastAsia="es-ES"/>
        </w:rPr>
        <w:t>of</w:t>
      </w:r>
      <w:proofErr w:type="spellEnd"/>
      <w:r w:rsidRPr="00395962">
        <w:rPr>
          <w:color w:val="000000"/>
          <w:bdr w:val="nil"/>
          <w:lang w:eastAsia="es-ES"/>
        </w:rPr>
        <w:t xml:space="preserve"> </w:t>
      </w:r>
      <w:proofErr w:type="spellStart"/>
      <w:r w:rsidRPr="00395962">
        <w:rPr>
          <w:color w:val="000000"/>
          <w:bdr w:val="nil"/>
          <w:lang w:eastAsia="es-ES"/>
        </w:rPr>
        <w:t>Hmong</w:t>
      </w:r>
      <w:proofErr w:type="spellEnd"/>
      <w:r w:rsidRPr="00395962">
        <w:rPr>
          <w:color w:val="000000"/>
          <w:bdr w:val="nil"/>
          <w:lang w:eastAsia="es-ES"/>
        </w:rPr>
        <w:t xml:space="preserve"> </w:t>
      </w:r>
      <w:proofErr w:type="spellStart"/>
      <w:r w:rsidRPr="00395962">
        <w:rPr>
          <w:color w:val="000000"/>
          <w:bdr w:val="nil"/>
          <w:lang w:eastAsia="es-ES"/>
        </w:rPr>
        <w:t>students</w:t>
      </w:r>
      <w:proofErr w:type="spellEnd"/>
      <w:r w:rsidRPr="00395962">
        <w:rPr>
          <w:color w:val="000000"/>
          <w:bdr w:val="nil"/>
          <w:lang w:eastAsia="es-ES"/>
        </w:rPr>
        <w:t xml:space="preserve"> in </w:t>
      </w:r>
      <w:proofErr w:type="spellStart"/>
      <w:r w:rsidRPr="00395962">
        <w:rPr>
          <w:color w:val="000000"/>
          <w:bdr w:val="nil"/>
          <w:lang w:eastAsia="es-ES"/>
        </w:rPr>
        <w:t>the</w:t>
      </w:r>
      <w:proofErr w:type="spellEnd"/>
      <w:r w:rsidRPr="00395962">
        <w:rPr>
          <w:color w:val="000000"/>
          <w:bdr w:val="nil"/>
          <w:lang w:eastAsia="es-ES"/>
        </w:rPr>
        <w:t xml:space="preserve"> </w:t>
      </w:r>
      <w:proofErr w:type="spellStart"/>
      <w:r w:rsidRPr="00395962">
        <w:rPr>
          <w:color w:val="000000"/>
          <w:bdr w:val="nil"/>
          <w:lang w:eastAsia="es-ES"/>
        </w:rPr>
        <w:t>United</w:t>
      </w:r>
      <w:proofErr w:type="spellEnd"/>
      <w:r w:rsidRPr="00395962">
        <w:rPr>
          <w:color w:val="000000"/>
          <w:bdr w:val="nil"/>
          <w:lang w:eastAsia="es-ES"/>
        </w:rPr>
        <w:t xml:space="preserve"> </w:t>
      </w:r>
      <w:proofErr w:type="spellStart"/>
      <w:r w:rsidRPr="00395962">
        <w:rPr>
          <w:color w:val="000000"/>
          <w:bdr w:val="nil"/>
          <w:lang w:eastAsia="es-ES"/>
        </w:rPr>
        <w:t>States</w:t>
      </w:r>
      <w:proofErr w:type="spellEnd"/>
      <w:r w:rsidRPr="00395962">
        <w:rPr>
          <w:color w:val="000000"/>
          <w:bdr w:val="nil"/>
          <w:lang w:eastAsia="es-ES"/>
        </w:rPr>
        <w:t xml:space="preserve">. </w:t>
      </w:r>
      <w:r w:rsidRPr="00395962">
        <w:rPr>
          <w:i/>
          <w:iCs/>
          <w:color w:val="000000"/>
          <w:bdr w:val="nil"/>
          <w:lang w:val="en-US" w:eastAsia="es-ES"/>
        </w:rPr>
        <w:t>Urban Education, 52</w:t>
      </w:r>
      <w:r w:rsidRPr="00395962">
        <w:rPr>
          <w:color w:val="000000"/>
          <w:bdr w:val="nil"/>
          <w:lang w:val="en-US" w:eastAsia="es-ES"/>
        </w:rPr>
        <w:t xml:space="preserve">(10), 1255–1283. </w:t>
      </w:r>
      <w:hyperlink r:id="rId48" w:history="1">
        <w:r w:rsidRPr="00395962">
          <w:rPr>
            <w:color w:val="000000"/>
            <w:bdr w:val="nil"/>
            <w:lang w:val="en-US" w:eastAsia="es-ES"/>
          </w:rPr>
          <w:t>https://doi.org/10.1177/0042085915595092</w:t>
        </w:r>
      </w:hyperlink>
      <w:r w:rsidRPr="00395962">
        <w:rPr>
          <w:color w:val="000000"/>
          <w:bdr w:val="nil"/>
          <w:lang w:val="en-US" w:eastAsia="es-ES"/>
        </w:rPr>
        <w:t xml:space="preserve"> </w:t>
      </w:r>
    </w:p>
    <w:p w14:paraId="53F8D4A1"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val="en-US" w:eastAsia="es-ES"/>
        </w:rPr>
      </w:pPr>
      <w:r w:rsidRPr="00395962">
        <w:rPr>
          <w:color w:val="000000"/>
          <w:bdr w:val="nil"/>
          <w:lang w:val="en-US" w:eastAsia="es-ES"/>
        </w:rPr>
        <w:t>Li, J., King, R. B., Wang, Y., Leung, A. O. y Wang, C. (2023).  </w:t>
      </w:r>
      <w:proofErr w:type="spellStart"/>
      <w:r w:rsidRPr="00395962">
        <w:rPr>
          <w:color w:val="000000"/>
          <w:bdr w:val="nil"/>
          <w:lang w:eastAsia="es-ES"/>
        </w:rPr>
        <w:t>Students</w:t>
      </w:r>
      <w:proofErr w:type="spellEnd"/>
      <w:r w:rsidRPr="00395962">
        <w:rPr>
          <w:color w:val="000000"/>
          <w:bdr w:val="nil"/>
          <w:lang w:eastAsia="es-ES"/>
        </w:rPr>
        <w:t xml:space="preserve">' and </w:t>
      </w:r>
      <w:proofErr w:type="spellStart"/>
      <w:r w:rsidRPr="00395962">
        <w:rPr>
          <w:color w:val="000000"/>
          <w:bdr w:val="nil"/>
          <w:lang w:eastAsia="es-ES"/>
        </w:rPr>
        <w:t>schools</w:t>
      </w:r>
      <w:proofErr w:type="spellEnd"/>
      <w:r w:rsidRPr="00395962">
        <w:rPr>
          <w:color w:val="000000"/>
          <w:bdr w:val="nil"/>
          <w:lang w:eastAsia="es-ES"/>
        </w:rPr>
        <w:t xml:space="preserve">' </w:t>
      </w:r>
      <w:proofErr w:type="spellStart"/>
      <w:r w:rsidRPr="00395962">
        <w:rPr>
          <w:color w:val="000000"/>
          <w:bdr w:val="nil"/>
          <w:lang w:eastAsia="es-ES"/>
        </w:rPr>
        <w:t>expectancy-value</w:t>
      </w:r>
      <w:proofErr w:type="spellEnd"/>
      <w:r w:rsidRPr="00395962">
        <w:rPr>
          <w:color w:val="000000"/>
          <w:bdr w:val="nil"/>
          <w:lang w:eastAsia="es-ES"/>
        </w:rPr>
        <w:t xml:space="preserve"> </w:t>
      </w:r>
      <w:proofErr w:type="spellStart"/>
      <w:r w:rsidRPr="00395962">
        <w:rPr>
          <w:color w:val="000000"/>
          <w:bdr w:val="nil"/>
          <w:lang w:eastAsia="es-ES"/>
        </w:rPr>
        <w:t>beliefs</w:t>
      </w:r>
      <w:proofErr w:type="spellEnd"/>
      <w:r w:rsidRPr="00395962">
        <w:rPr>
          <w:color w:val="000000"/>
          <w:bdr w:val="nil"/>
          <w:lang w:eastAsia="es-ES"/>
        </w:rPr>
        <w:t xml:space="preserve"> are </w:t>
      </w:r>
      <w:proofErr w:type="spellStart"/>
      <w:r w:rsidRPr="00395962">
        <w:rPr>
          <w:color w:val="000000"/>
          <w:bdr w:val="nil"/>
          <w:lang w:eastAsia="es-ES"/>
        </w:rPr>
        <w:t>associated</w:t>
      </w:r>
      <w:proofErr w:type="spellEnd"/>
      <w:r w:rsidRPr="00395962">
        <w:rPr>
          <w:color w:val="000000"/>
          <w:bdr w:val="nil"/>
          <w:lang w:eastAsia="es-ES"/>
        </w:rPr>
        <w:t xml:space="preserve"> </w:t>
      </w:r>
      <w:proofErr w:type="spellStart"/>
      <w:r w:rsidRPr="00395962">
        <w:rPr>
          <w:color w:val="000000"/>
          <w:bdr w:val="nil"/>
          <w:lang w:eastAsia="es-ES"/>
        </w:rPr>
        <w:t>with</w:t>
      </w:r>
      <w:proofErr w:type="spellEnd"/>
      <w:r w:rsidRPr="00395962">
        <w:rPr>
          <w:color w:val="000000"/>
          <w:bdr w:val="nil"/>
          <w:lang w:eastAsia="es-ES"/>
        </w:rPr>
        <w:t xml:space="preserve"> </w:t>
      </w:r>
      <w:proofErr w:type="spellStart"/>
      <w:r w:rsidRPr="00395962">
        <w:rPr>
          <w:color w:val="000000"/>
          <w:bdr w:val="nil"/>
          <w:lang w:eastAsia="es-ES"/>
        </w:rPr>
        <w:t>reading</w:t>
      </w:r>
      <w:proofErr w:type="spellEnd"/>
      <w:r w:rsidRPr="00395962">
        <w:rPr>
          <w:color w:val="000000"/>
          <w:bdr w:val="nil"/>
          <w:lang w:eastAsia="es-ES"/>
        </w:rPr>
        <w:t xml:space="preserve"> </w:t>
      </w:r>
      <w:proofErr w:type="spellStart"/>
      <w:r w:rsidRPr="00395962">
        <w:rPr>
          <w:color w:val="000000"/>
          <w:bdr w:val="nil"/>
          <w:lang w:eastAsia="es-ES"/>
        </w:rPr>
        <w:t>achievement</w:t>
      </w:r>
      <w:proofErr w:type="spellEnd"/>
      <w:r w:rsidRPr="00395962">
        <w:rPr>
          <w:color w:val="000000"/>
          <w:bdr w:val="nil"/>
          <w:lang w:eastAsia="es-ES"/>
        </w:rPr>
        <w:t xml:space="preserve">: A </w:t>
      </w:r>
      <w:proofErr w:type="spellStart"/>
      <w:r w:rsidRPr="00395962">
        <w:rPr>
          <w:color w:val="000000"/>
          <w:bdr w:val="nil"/>
          <w:lang w:eastAsia="es-ES"/>
        </w:rPr>
        <w:t>cross</w:t>
      </w:r>
      <w:proofErr w:type="spellEnd"/>
      <w:r w:rsidRPr="00395962">
        <w:rPr>
          <w:color w:val="000000"/>
          <w:bdr w:val="nil"/>
          <w:lang w:eastAsia="es-ES"/>
        </w:rPr>
        <w:t xml:space="preserve">-cultural </w:t>
      </w:r>
      <w:proofErr w:type="spellStart"/>
      <w:r w:rsidRPr="00395962">
        <w:rPr>
          <w:color w:val="000000"/>
          <w:bdr w:val="nil"/>
          <w:lang w:eastAsia="es-ES"/>
        </w:rPr>
        <w:t>study</w:t>
      </w:r>
      <w:proofErr w:type="spellEnd"/>
      <w:r w:rsidRPr="00395962">
        <w:rPr>
          <w:color w:val="000000"/>
          <w:bdr w:val="nil"/>
          <w:lang w:eastAsia="es-ES"/>
        </w:rPr>
        <w:t xml:space="preserve">. </w:t>
      </w:r>
      <w:r w:rsidRPr="00395962">
        <w:rPr>
          <w:i/>
          <w:iCs/>
          <w:color w:val="000000"/>
          <w:bdr w:val="nil"/>
          <w:lang w:val="en-US" w:eastAsia="es-ES"/>
        </w:rPr>
        <w:t xml:space="preserve">Learning and Individual </w:t>
      </w:r>
      <w:r w:rsidRPr="00395962">
        <w:rPr>
          <w:i/>
          <w:iCs/>
          <w:color w:val="000000"/>
          <w:bdr w:val="nil"/>
          <w:lang w:val="en-US" w:eastAsia="es-ES"/>
        </w:rPr>
        <w:t>Differences, 106</w:t>
      </w:r>
      <w:r w:rsidRPr="00395962">
        <w:rPr>
          <w:color w:val="000000"/>
          <w:bdr w:val="nil"/>
          <w:lang w:val="en-US" w:eastAsia="es-ES"/>
        </w:rPr>
        <w:t xml:space="preserve">(2), 1–11. </w:t>
      </w:r>
      <w:hyperlink r:id="rId49" w:history="1">
        <w:r w:rsidRPr="00395962">
          <w:rPr>
            <w:color w:val="000000"/>
            <w:bdr w:val="nil"/>
            <w:lang w:val="en-US" w:eastAsia="es-ES"/>
          </w:rPr>
          <w:t>https://doi.org/10.1016/j.lindif.2023.102344</w:t>
        </w:r>
      </w:hyperlink>
      <w:r w:rsidRPr="00395962">
        <w:rPr>
          <w:color w:val="000000"/>
          <w:bdr w:val="nil"/>
          <w:lang w:val="en-US" w:eastAsia="es-ES"/>
        </w:rPr>
        <w:t xml:space="preserve"> </w:t>
      </w:r>
    </w:p>
    <w:p w14:paraId="0C01F6B0"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eastAsia="es-ES"/>
        </w:rPr>
      </w:pPr>
      <w:r w:rsidRPr="00395962">
        <w:rPr>
          <w:color w:val="000000"/>
          <w:bdr w:val="nil"/>
          <w:lang w:eastAsia="es-ES"/>
        </w:rPr>
        <w:t xml:space="preserve">Liu, C. y Chung, K. (2022). </w:t>
      </w:r>
      <w:proofErr w:type="spellStart"/>
      <w:r w:rsidRPr="00395962">
        <w:rPr>
          <w:color w:val="000000"/>
          <w:bdr w:val="nil"/>
          <w:lang w:eastAsia="es-ES"/>
        </w:rPr>
        <w:t>Effects</w:t>
      </w:r>
      <w:proofErr w:type="spellEnd"/>
      <w:r w:rsidRPr="00395962">
        <w:rPr>
          <w:color w:val="000000"/>
          <w:bdr w:val="nil"/>
          <w:lang w:eastAsia="es-ES"/>
        </w:rPr>
        <w:t xml:space="preserve"> </w:t>
      </w:r>
      <w:proofErr w:type="spellStart"/>
      <w:r w:rsidRPr="00395962">
        <w:rPr>
          <w:color w:val="000000"/>
          <w:bdr w:val="nil"/>
          <w:lang w:eastAsia="es-ES"/>
        </w:rPr>
        <w:t>of</w:t>
      </w:r>
      <w:proofErr w:type="spellEnd"/>
      <w:r w:rsidRPr="00395962">
        <w:rPr>
          <w:color w:val="000000"/>
          <w:bdr w:val="nil"/>
          <w:lang w:eastAsia="es-ES"/>
        </w:rPr>
        <w:t xml:space="preserve"> </w:t>
      </w:r>
      <w:proofErr w:type="spellStart"/>
      <w:r w:rsidRPr="00395962">
        <w:rPr>
          <w:color w:val="000000"/>
          <w:bdr w:val="nil"/>
          <w:lang w:eastAsia="es-ES"/>
        </w:rPr>
        <w:t>fathers</w:t>
      </w:r>
      <w:proofErr w:type="spellEnd"/>
      <w:r w:rsidRPr="00395962">
        <w:rPr>
          <w:color w:val="000000"/>
          <w:bdr w:val="nil"/>
          <w:lang w:eastAsia="es-ES"/>
        </w:rPr>
        <w:t xml:space="preserve">' and </w:t>
      </w:r>
      <w:proofErr w:type="spellStart"/>
      <w:r w:rsidRPr="00395962">
        <w:rPr>
          <w:color w:val="000000"/>
          <w:bdr w:val="nil"/>
          <w:lang w:eastAsia="es-ES"/>
        </w:rPr>
        <w:t>mothers</w:t>
      </w:r>
      <w:proofErr w:type="spellEnd"/>
      <w:r w:rsidRPr="00395962">
        <w:rPr>
          <w:color w:val="000000"/>
          <w:bdr w:val="nil"/>
          <w:lang w:eastAsia="es-ES"/>
        </w:rPr>
        <w:t xml:space="preserve">' </w:t>
      </w:r>
      <w:proofErr w:type="spellStart"/>
      <w:r w:rsidRPr="00395962">
        <w:rPr>
          <w:color w:val="000000"/>
          <w:bdr w:val="nil"/>
          <w:lang w:eastAsia="es-ES"/>
        </w:rPr>
        <w:t>expectations</w:t>
      </w:r>
      <w:proofErr w:type="spellEnd"/>
      <w:r w:rsidRPr="00395962">
        <w:rPr>
          <w:color w:val="000000"/>
          <w:bdr w:val="nil"/>
          <w:lang w:eastAsia="es-ES"/>
        </w:rPr>
        <w:t xml:space="preserve"> and home </w:t>
      </w:r>
      <w:proofErr w:type="spellStart"/>
      <w:r w:rsidRPr="00395962">
        <w:rPr>
          <w:color w:val="000000"/>
          <w:bdr w:val="nil"/>
          <w:lang w:eastAsia="es-ES"/>
        </w:rPr>
        <w:t>literacy</w:t>
      </w:r>
      <w:proofErr w:type="spellEnd"/>
      <w:r w:rsidRPr="00395962">
        <w:rPr>
          <w:color w:val="000000"/>
          <w:bdr w:val="nil"/>
          <w:lang w:eastAsia="es-ES"/>
        </w:rPr>
        <w:t xml:space="preserve"> </w:t>
      </w:r>
      <w:proofErr w:type="spellStart"/>
      <w:r w:rsidRPr="00395962">
        <w:rPr>
          <w:color w:val="000000"/>
          <w:bdr w:val="nil"/>
          <w:lang w:eastAsia="es-ES"/>
        </w:rPr>
        <w:t>involvement</w:t>
      </w:r>
      <w:proofErr w:type="spellEnd"/>
      <w:r w:rsidRPr="00395962">
        <w:rPr>
          <w:color w:val="000000"/>
          <w:bdr w:val="nil"/>
          <w:lang w:eastAsia="es-ES"/>
        </w:rPr>
        <w:t xml:space="preserve"> </w:t>
      </w:r>
      <w:proofErr w:type="spellStart"/>
      <w:r w:rsidRPr="00395962">
        <w:rPr>
          <w:color w:val="000000"/>
          <w:bdr w:val="nil"/>
          <w:lang w:eastAsia="es-ES"/>
        </w:rPr>
        <w:t>on</w:t>
      </w:r>
      <w:proofErr w:type="spellEnd"/>
      <w:r w:rsidRPr="00395962">
        <w:rPr>
          <w:color w:val="000000"/>
          <w:bdr w:val="nil"/>
          <w:lang w:eastAsia="es-ES"/>
        </w:rPr>
        <w:t xml:space="preserve"> </w:t>
      </w:r>
      <w:proofErr w:type="spellStart"/>
      <w:r w:rsidRPr="00395962">
        <w:rPr>
          <w:color w:val="000000"/>
          <w:bdr w:val="nil"/>
          <w:lang w:eastAsia="es-ES"/>
        </w:rPr>
        <w:t>their</w:t>
      </w:r>
      <w:proofErr w:type="spellEnd"/>
      <w:r w:rsidRPr="00395962">
        <w:rPr>
          <w:color w:val="000000"/>
          <w:bdr w:val="nil"/>
          <w:lang w:eastAsia="es-ES"/>
        </w:rPr>
        <w:t xml:space="preserve"> </w:t>
      </w:r>
      <w:proofErr w:type="spellStart"/>
      <w:r w:rsidRPr="00395962">
        <w:rPr>
          <w:color w:val="000000"/>
          <w:bdr w:val="nil"/>
          <w:lang w:eastAsia="es-ES"/>
        </w:rPr>
        <w:t>children's</w:t>
      </w:r>
      <w:proofErr w:type="spellEnd"/>
      <w:r w:rsidRPr="00395962">
        <w:rPr>
          <w:color w:val="000000"/>
          <w:bdr w:val="nil"/>
          <w:lang w:eastAsia="es-ES"/>
        </w:rPr>
        <w:t xml:space="preserve"> cognitive-</w:t>
      </w:r>
      <w:proofErr w:type="spellStart"/>
      <w:r w:rsidRPr="00395962">
        <w:rPr>
          <w:color w:val="000000"/>
          <w:bdr w:val="nil"/>
          <w:lang w:eastAsia="es-ES"/>
        </w:rPr>
        <w:t>linguistic</w:t>
      </w:r>
      <w:proofErr w:type="spellEnd"/>
      <w:r w:rsidRPr="00395962">
        <w:rPr>
          <w:color w:val="000000"/>
          <w:bdr w:val="nil"/>
          <w:lang w:eastAsia="es-ES"/>
        </w:rPr>
        <w:t xml:space="preserve"> </w:t>
      </w:r>
      <w:proofErr w:type="spellStart"/>
      <w:r w:rsidRPr="00395962">
        <w:rPr>
          <w:color w:val="000000"/>
          <w:bdr w:val="nil"/>
          <w:lang w:eastAsia="es-ES"/>
        </w:rPr>
        <w:t>skills</w:t>
      </w:r>
      <w:proofErr w:type="spellEnd"/>
      <w:r w:rsidRPr="00395962">
        <w:rPr>
          <w:color w:val="000000"/>
          <w:bdr w:val="nil"/>
          <w:lang w:eastAsia="es-ES"/>
        </w:rPr>
        <w:t xml:space="preserve">, </w:t>
      </w:r>
      <w:proofErr w:type="spellStart"/>
      <w:r w:rsidRPr="00395962">
        <w:rPr>
          <w:color w:val="000000"/>
          <w:bdr w:val="nil"/>
          <w:lang w:eastAsia="es-ES"/>
        </w:rPr>
        <w:t>vocabulary</w:t>
      </w:r>
      <w:proofErr w:type="spellEnd"/>
      <w:r w:rsidRPr="00395962">
        <w:rPr>
          <w:color w:val="000000"/>
          <w:bdr w:val="nil"/>
          <w:lang w:eastAsia="es-ES"/>
        </w:rPr>
        <w:t xml:space="preserve">, and </w:t>
      </w:r>
      <w:proofErr w:type="spellStart"/>
      <w:r w:rsidRPr="00395962">
        <w:rPr>
          <w:color w:val="000000"/>
          <w:bdr w:val="nil"/>
          <w:lang w:eastAsia="es-ES"/>
        </w:rPr>
        <w:t>word</w:t>
      </w:r>
      <w:proofErr w:type="spellEnd"/>
      <w:r w:rsidRPr="00395962">
        <w:rPr>
          <w:color w:val="000000"/>
          <w:bdr w:val="nil"/>
          <w:lang w:eastAsia="es-ES"/>
        </w:rPr>
        <w:t xml:space="preserve"> </w:t>
      </w:r>
      <w:proofErr w:type="spellStart"/>
      <w:r w:rsidRPr="00395962">
        <w:rPr>
          <w:color w:val="000000"/>
          <w:bdr w:val="nil"/>
          <w:lang w:eastAsia="es-ES"/>
        </w:rPr>
        <w:t>reading</w:t>
      </w:r>
      <w:proofErr w:type="spellEnd"/>
      <w:r w:rsidRPr="00395962">
        <w:rPr>
          <w:color w:val="000000"/>
          <w:bdr w:val="nil"/>
          <w:lang w:eastAsia="es-ES"/>
        </w:rPr>
        <w:t xml:space="preserve">. </w:t>
      </w:r>
      <w:r w:rsidRPr="00395962">
        <w:rPr>
          <w:i/>
          <w:iCs/>
          <w:color w:val="000000"/>
          <w:bdr w:val="nil"/>
          <w:lang w:val="en" w:eastAsia="es-ES"/>
        </w:rPr>
        <w:t>Early Childhood Research Quarterly</w:t>
      </w:r>
      <w:r w:rsidRPr="00395962">
        <w:rPr>
          <w:color w:val="000000"/>
          <w:bdr w:val="nil"/>
          <w:lang w:val="en" w:eastAsia="es-ES"/>
        </w:rPr>
        <w:t xml:space="preserve">, (60), 1–12. </w:t>
      </w:r>
      <w:hyperlink r:id="rId50" w:history="1">
        <w:r w:rsidRPr="00395962">
          <w:rPr>
            <w:color w:val="000000"/>
            <w:bdr w:val="nil"/>
            <w:lang w:val="en" w:eastAsia="es-ES"/>
          </w:rPr>
          <w:t>https://doi.org/10.1016/j.ecresq.2021.12.009</w:t>
        </w:r>
      </w:hyperlink>
    </w:p>
    <w:p w14:paraId="42617B61"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eastAsia="es-ES"/>
        </w:rPr>
      </w:pPr>
      <w:proofErr w:type="spellStart"/>
      <w:r w:rsidRPr="00395962">
        <w:rPr>
          <w:color w:val="000000"/>
          <w:bdr w:val="nil"/>
          <w:lang w:eastAsia="es-ES"/>
        </w:rPr>
        <w:t>Lopes</w:t>
      </w:r>
      <w:proofErr w:type="spellEnd"/>
      <w:r w:rsidRPr="00395962">
        <w:rPr>
          <w:color w:val="000000"/>
          <w:bdr w:val="nil"/>
          <w:lang w:eastAsia="es-ES"/>
        </w:rPr>
        <w:t xml:space="preserve">, J., Oliveira, C. y Costa, P. (2022). Determinantes escolares y de los estudiantes en el rendimiento lector: un análisis multinivel con estudiantes portugueses. </w:t>
      </w:r>
      <w:r w:rsidRPr="00395962">
        <w:rPr>
          <w:i/>
          <w:iCs/>
          <w:color w:val="000000"/>
          <w:bdr w:val="nil"/>
          <w:lang w:eastAsia="es-ES"/>
        </w:rPr>
        <w:t xml:space="preserve">Revista de </w:t>
      </w:r>
      <w:proofErr w:type="spellStart"/>
      <w:r w:rsidRPr="00395962">
        <w:rPr>
          <w:i/>
          <w:iCs/>
          <w:color w:val="000000"/>
          <w:bdr w:val="nil"/>
          <w:lang w:eastAsia="es-ES"/>
        </w:rPr>
        <w:t>Psicodidáctica</w:t>
      </w:r>
      <w:proofErr w:type="spellEnd"/>
      <w:r w:rsidRPr="00395962">
        <w:rPr>
          <w:color w:val="000000"/>
          <w:bdr w:val="nil"/>
          <w:lang w:eastAsia="es-ES"/>
        </w:rPr>
        <w:t xml:space="preserve">, </w:t>
      </w:r>
      <w:r w:rsidRPr="00395962">
        <w:rPr>
          <w:i/>
          <w:iCs/>
          <w:color w:val="000000"/>
          <w:bdr w:val="nil"/>
          <w:lang w:eastAsia="es-ES"/>
        </w:rPr>
        <w:t>27</w:t>
      </w:r>
      <w:r w:rsidRPr="00395962">
        <w:rPr>
          <w:color w:val="000000"/>
          <w:bdr w:val="nil"/>
          <w:lang w:eastAsia="es-ES"/>
        </w:rPr>
        <w:t xml:space="preserve">(1), 29–37. </w:t>
      </w:r>
      <w:hyperlink r:id="rId51" w:history="1">
        <w:r w:rsidRPr="00395962">
          <w:rPr>
            <w:color w:val="000000"/>
            <w:bdr w:val="nil"/>
            <w:lang w:eastAsia="es-ES"/>
          </w:rPr>
          <w:t>https://doi.org/10.1016/j.psicod.2021.05.001</w:t>
        </w:r>
      </w:hyperlink>
      <w:r w:rsidRPr="00395962">
        <w:rPr>
          <w:color w:val="000000"/>
          <w:bdr w:val="nil"/>
          <w:lang w:eastAsia="es-ES"/>
        </w:rPr>
        <w:t xml:space="preserve"> </w:t>
      </w:r>
    </w:p>
    <w:p w14:paraId="30C70FFB"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rFonts w:eastAsia="Arial Unicode MS"/>
          <w:color w:val="000000"/>
          <w:bdr w:val="nil"/>
          <w:lang w:eastAsia="es-ES"/>
        </w:rPr>
      </w:pPr>
      <w:r w:rsidRPr="00395962">
        <w:rPr>
          <w:rFonts w:eastAsia="Arial Unicode MS"/>
          <w:color w:val="000000"/>
          <w:bdr w:val="nil"/>
          <w:lang w:val="es-MX" w:eastAsia="es-ES"/>
        </w:rPr>
        <w:t xml:space="preserve">Marôco, J. (2021). </w:t>
      </w:r>
      <w:r w:rsidRPr="00395962">
        <w:rPr>
          <w:rFonts w:eastAsia="Arial Unicode MS"/>
          <w:color w:val="000000"/>
          <w:bdr w:val="nil"/>
          <w:lang w:val="en" w:eastAsia="es-ES"/>
        </w:rPr>
        <w:t xml:space="preserve">What makes a good reader? </w:t>
      </w:r>
      <w:proofErr w:type="spellStart"/>
      <w:r w:rsidRPr="00395962">
        <w:rPr>
          <w:rFonts w:eastAsia="Arial Unicode MS"/>
          <w:color w:val="000000"/>
          <w:bdr w:val="nil"/>
          <w:lang w:eastAsia="es-ES"/>
        </w:rPr>
        <w:t>Worldwide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insights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from</w:t>
      </w:r>
      <w:proofErr w:type="spellEnd"/>
      <w:r w:rsidRPr="00395962">
        <w:rPr>
          <w:rFonts w:eastAsia="Arial Unicode MS"/>
          <w:color w:val="000000"/>
          <w:bdr w:val="nil"/>
          <w:lang w:eastAsia="es-ES"/>
        </w:rPr>
        <w:t xml:space="preserve"> PIRLS 2016 </w:t>
      </w:r>
      <w:r w:rsidRPr="00395962">
        <w:rPr>
          <w:rFonts w:eastAsia="Arial Unicode MS"/>
          <w:i/>
          <w:iCs/>
          <w:color w:val="000000"/>
          <w:bdr w:val="nil"/>
          <w:lang w:val="en" w:eastAsia="es-ES"/>
        </w:rPr>
        <w:t>Reading and Writing, 34</w:t>
      </w:r>
      <w:r w:rsidRPr="00395962">
        <w:rPr>
          <w:rFonts w:eastAsia="Arial Unicode MS"/>
          <w:color w:val="000000"/>
          <w:bdr w:val="nil"/>
          <w:lang w:val="en" w:eastAsia="es-ES"/>
        </w:rPr>
        <w:t xml:space="preserve">(1), 231–272. </w:t>
      </w:r>
      <w:hyperlink r:id="rId52" w:history="1">
        <w:r w:rsidRPr="00395962">
          <w:rPr>
            <w:bdr w:val="nil"/>
            <w:lang w:val="en-US" w:eastAsia="es-ES"/>
          </w:rPr>
          <w:t>https://doi.org/10.1007/s11145-020-10068-8</w:t>
        </w:r>
      </w:hyperlink>
    </w:p>
    <w:p w14:paraId="5FBCDE8F" w14:textId="77777777" w:rsidR="00C00B69" w:rsidRPr="00395962" w:rsidRDefault="00C00B69" w:rsidP="00C00B69">
      <w:pPr>
        <w:keepNext/>
        <w:pBdr>
          <w:top w:val="nil"/>
          <w:left w:val="nil"/>
          <w:bottom w:val="nil"/>
          <w:right w:val="nil"/>
          <w:between w:val="nil"/>
          <w:bar w:val="nil"/>
        </w:pBdr>
        <w:adjustRightInd w:val="0"/>
        <w:spacing w:before="240" w:after="60" w:line="240" w:lineRule="auto"/>
        <w:ind w:left="709" w:hanging="709"/>
        <w:contextualSpacing/>
        <w:outlineLvl w:val="2"/>
        <w:rPr>
          <w:color w:val="000000"/>
          <w:bdr w:val="nil"/>
          <w:lang w:eastAsia="es-ES"/>
        </w:rPr>
      </w:pPr>
      <w:r w:rsidRPr="00395962">
        <w:rPr>
          <w:color w:val="000000"/>
          <w:bdr w:val="nil"/>
          <w:lang w:val="en-US" w:eastAsia="es-ES"/>
        </w:rPr>
        <w:t xml:space="preserve">Mickelson, R. A., </w:t>
      </w:r>
      <w:proofErr w:type="spellStart"/>
      <w:r w:rsidRPr="00395962">
        <w:rPr>
          <w:color w:val="000000"/>
          <w:bdr w:val="nil"/>
          <w:lang w:val="en-US" w:eastAsia="es-ES"/>
        </w:rPr>
        <w:t>Bottia</w:t>
      </w:r>
      <w:proofErr w:type="spellEnd"/>
      <w:r w:rsidRPr="00395962">
        <w:rPr>
          <w:color w:val="000000"/>
          <w:bdr w:val="nil"/>
          <w:lang w:val="en-US" w:eastAsia="es-ES"/>
        </w:rPr>
        <w:t xml:space="preserve">, M. C. y Larimore, S. (2020). </w:t>
      </w:r>
      <w:r w:rsidRPr="00395962">
        <w:rPr>
          <w:color w:val="000000"/>
          <w:bdr w:val="nil"/>
          <w:lang w:eastAsia="es-ES"/>
        </w:rPr>
        <w:t>A meta-</w:t>
      </w:r>
      <w:proofErr w:type="spellStart"/>
      <w:r w:rsidRPr="00395962">
        <w:rPr>
          <w:color w:val="000000"/>
          <w:bdr w:val="nil"/>
          <w:lang w:eastAsia="es-ES"/>
        </w:rPr>
        <w:t>regression</w:t>
      </w:r>
      <w:proofErr w:type="spellEnd"/>
      <w:r w:rsidRPr="00395962">
        <w:rPr>
          <w:color w:val="000000"/>
          <w:bdr w:val="nil"/>
          <w:lang w:eastAsia="es-ES"/>
        </w:rPr>
        <w:t xml:space="preserve"> </w:t>
      </w:r>
      <w:proofErr w:type="spellStart"/>
      <w:r w:rsidRPr="00395962">
        <w:rPr>
          <w:color w:val="000000"/>
          <w:bdr w:val="nil"/>
          <w:lang w:eastAsia="es-ES"/>
        </w:rPr>
        <w:t>analysis</w:t>
      </w:r>
      <w:proofErr w:type="spellEnd"/>
      <w:r w:rsidRPr="00395962">
        <w:rPr>
          <w:color w:val="000000"/>
          <w:bdr w:val="nil"/>
          <w:lang w:eastAsia="es-ES"/>
        </w:rPr>
        <w:t xml:space="preserve"> </w:t>
      </w:r>
      <w:proofErr w:type="spellStart"/>
      <w:r w:rsidRPr="00395962">
        <w:rPr>
          <w:color w:val="000000"/>
          <w:bdr w:val="nil"/>
          <w:lang w:eastAsia="es-ES"/>
        </w:rPr>
        <w:t>of</w:t>
      </w:r>
      <w:proofErr w:type="spellEnd"/>
      <w:r w:rsidRPr="00395962">
        <w:rPr>
          <w:color w:val="000000"/>
          <w:bdr w:val="nil"/>
          <w:lang w:eastAsia="es-ES"/>
        </w:rPr>
        <w:t xml:space="preserve"> </w:t>
      </w:r>
      <w:proofErr w:type="spellStart"/>
      <w:r w:rsidRPr="00395962">
        <w:rPr>
          <w:color w:val="000000"/>
          <w:bdr w:val="nil"/>
          <w:lang w:eastAsia="es-ES"/>
        </w:rPr>
        <w:t>the</w:t>
      </w:r>
      <w:proofErr w:type="spellEnd"/>
      <w:r w:rsidRPr="00395962">
        <w:rPr>
          <w:color w:val="000000"/>
          <w:bdr w:val="nil"/>
          <w:lang w:eastAsia="es-ES"/>
        </w:rPr>
        <w:t xml:space="preserve"> </w:t>
      </w:r>
      <w:proofErr w:type="spellStart"/>
      <w:r w:rsidRPr="00395962">
        <w:rPr>
          <w:color w:val="000000"/>
          <w:bdr w:val="nil"/>
          <w:lang w:eastAsia="es-ES"/>
        </w:rPr>
        <w:t>effects</w:t>
      </w:r>
      <w:proofErr w:type="spellEnd"/>
      <w:r w:rsidRPr="00395962">
        <w:rPr>
          <w:color w:val="000000"/>
          <w:bdr w:val="nil"/>
          <w:lang w:eastAsia="es-ES"/>
        </w:rPr>
        <w:t xml:space="preserve"> </w:t>
      </w:r>
      <w:proofErr w:type="spellStart"/>
      <w:r w:rsidRPr="00395962">
        <w:rPr>
          <w:color w:val="000000"/>
          <w:bdr w:val="nil"/>
          <w:lang w:eastAsia="es-ES"/>
        </w:rPr>
        <w:t>of</w:t>
      </w:r>
      <w:proofErr w:type="spellEnd"/>
      <w:r w:rsidRPr="00395962">
        <w:rPr>
          <w:color w:val="000000"/>
          <w:bdr w:val="nil"/>
          <w:lang w:eastAsia="es-ES"/>
        </w:rPr>
        <w:t xml:space="preserve"> </w:t>
      </w:r>
      <w:proofErr w:type="spellStart"/>
      <w:r w:rsidRPr="00395962">
        <w:rPr>
          <w:color w:val="000000"/>
          <w:bdr w:val="nil"/>
          <w:lang w:eastAsia="es-ES"/>
        </w:rPr>
        <w:t>school</w:t>
      </w:r>
      <w:proofErr w:type="spellEnd"/>
      <w:r w:rsidRPr="00395962">
        <w:rPr>
          <w:color w:val="000000"/>
          <w:bdr w:val="nil"/>
          <w:lang w:eastAsia="es-ES"/>
        </w:rPr>
        <w:t xml:space="preserve"> racial and </w:t>
      </w:r>
      <w:proofErr w:type="spellStart"/>
      <w:r w:rsidRPr="00395962">
        <w:rPr>
          <w:color w:val="000000"/>
          <w:bdr w:val="nil"/>
          <w:lang w:eastAsia="es-ES"/>
        </w:rPr>
        <w:t>ethnic</w:t>
      </w:r>
      <w:proofErr w:type="spellEnd"/>
      <w:r w:rsidRPr="00395962">
        <w:rPr>
          <w:color w:val="000000"/>
          <w:bdr w:val="nil"/>
          <w:lang w:eastAsia="es-ES"/>
        </w:rPr>
        <w:t xml:space="preserve"> </w:t>
      </w:r>
      <w:proofErr w:type="spellStart"/>
      <w:r w:rsidRPr="00395962">
        <w:rPr>
          <w:color w:val="000000"/>
          <w:bdr w:val="nil"/>
          <w:lang w:eastAsia="es-ES"/>
        </w:rPr>
        <w:t>composition</w:t>
      </w:r>
      <w:proofErr w:type="spellEnd"/>
      <w:r w:rsidRPr="00395962">
        <w:rPr>
          <w:color w:val="000000"/>
          <w:bdr w:val="nil"/>
          <w:lang w:eastAsia="es-ES"/>
        </w:rPr>
        <w:t xml:space="preserve"> </w:t>
      </w:r>
      <w:proofErr w:type="spellStart"/>
      <w:r w:rsidRPr="00395962">
        <w:rPr>
          <w:color w:val="000000"/>
          <w:bdr w:val="nil"/>
          <w:lang w:eastAsia="es-ES"/>
        </w:rPr>
        <w:t>on</w:t>
      </w:r>
      <w:proofErr w:type="spellEnd"/>
      <w:r w:rsidRPr="00395962">
        <w:rPr>
          <w:color w:val="000000"/>
          <w:bdr w:val="nil"/>
          <w:lang w:eastAsia="es-ES"/>
        </w:rPr>
        <w:t xml:space="preserve"> K-12 Reading, </w:t>
      </w:r>
      <w:proofErr w:type="spellStart"/>
      <w:r w:rsidRPr="00395962">
        <w:rPr>
          <w:color w:val="000000"/>
          <w:bdr w:val="nil"/>
          <w:lang w:eastAsia="es-ES"/>
        </w:rPr>
        <w:t>Language</w:t>
      </w:r>
      <w:proofErr w:type="spellEnd"/>
      <w:r w:rsidRPr="00395962">
        <w:rPr>
          <w:color w:val="000000"/>
          <w:bdr w:val="nil"/>
          <w:lang w:eastAsia="es-ES"/>
        </w:rPr>
        <w:t xml:space="preserve"> </w:t>
      </w:r>
      <w:proofErr w:type="spellStart"/>
      <w:r w:rsidRPr="00395962">
        <w:rPr>
          <w:color w:val="000000"/>
          <w:bdr w:val="nil"/>
          <w:lang w:eastAsia="es-ES"/>
        </w:rPr>
        <w:t>Arts</w:t>
      </w:r>
      <w:proofErr w:type="spellEnd"/>
      <w:r w:rsidRPr="00395962">
        <w:rPr>
          <w:color w:val="000000"/>
          <w:bdr w:val="nil"/>
          <w:lang w:eastAsia="es-ES"/>
        </w:rPr>
        <w:t xml:space="preserve">, and English </w:t>
      </w:r>
      <w:proofErr w:type="spellStart"/>
      <w:r w:rsidRPr="00395962">
        <w:rPr>
          <w:color w:val="000000"/>
          <w:bdr w:val="nil"/>
          <w:lang w:eastAsia="es-ES"/>
        </w:rPr>
        <w:t>outcomes</w:t>
      </w:r>
      <w:proofErr w:type="spellEnd"/>
      <w:r w:rsidRPr="00395962">
        <w:rPr>
          <w:color w:val="000000"/>
          <w:bdr w:val="nil"/>
          <w:lang w:eastAsia="es-ES"/>
        </w:rPr>
        <w:t xml:space="preserve">. </w:t>
      </w:r>
      <w:proofErr w:type="spellStart"/>
      <w:r w:rsidRPr="00395962">
        <w:rPr>
          <w:i/>
          <w:iCs/>
          <w:color w:val="000000"/>
          <w:bdr w:val="nil"/>
          <w:lang w:eastAsia="es-ES"/>
        </w:rPr>
        <w:t>Sociology</w:t>
      </w:r>
      <w:proofErr w:type="spellEnd"/>
      <w:r w:rsidRPr="00395962">
        <w:rPr>
          <w:i/>
          <w:iCs/>
          <w:color w:val="000000"/>
          <w:bdr w:val="nil"/>
          <w:lang w:eastAsia="es-ES"/>
        </w:rPr>
        <w:t xml:space="preserve"> </w:t>
      </w:r>
      <w:proofErr w:type="spellStart"/>
      <w:r w:rsidRPr="00395962">
        <w:rPr>
          <w:i/>
          <w:iCs/>
          <w:color w:val="000000"/>
          <w:bdr w:val="nil"/>
          <w:lang w:eastAsia="es-ES"/>
        </w:rPr>
        <w:t>of</w:t>
      </w:r>
      <w:proofErr w:type="spellEnd"/>
      <w:r w:rsidRPr="00395962">
        <w:rPr>
          <w:i/>
          <w:iCs/>
          <w:color w:val="000000"/>
          <w:bdr w:val="nil"/>
          <w:lang w:eastAsia="es-ES"/>
        </w:rPr>
        <w:t xml:space="preserve"> </w:t>
      </w:r>
      <w:proofErr w:type="spellStart"/>
      <w:r w:rsidRPr="00395962">
        <w:rPr>
          <w:i/>
          <w:iCs/>
          <w:color w:val="000000"/>
          <w:bdr w:val="nil"/>
          <w:lang w:eastAsia="es-ES"/>
        </w:rPr>
        <w:t>Race</w:t>
      </w:r>
      <w:proofErr w:type="spellEnd"/>
      <w:r w:rsidRPr="00395962">
        <w:rPr>
          <w:i/>
          <w:iCs/>
          <w:color w:val="000000"/>
          <w:bdr w:val="nil"/>
          <w:lang w:eastAsia="es-ES"/>
        </w:rPr>
        <w:t xml:space="preserve"> </w:t>
      </w:r>
      <w:proofErr w:type="spellStart"/>
      <w:r w:rsidRPr="00395962">
        <w:rPr>
          <w:i/>
          <w:iCs/>
          <w:color w:val="000000"/>
          <w:bdr w:val="nil"/>
          <w:lang w:eastAsia="es-ES"/>
        </w:rPr>
        <w:t>Ethnicity</w:t>
      </w:r>
      <w:proofErr w:type="spellEnd"/>
      <w:r w:rsidRPr="00395962">
        <w:rPr>
          <w:i/>
          <w:iCs/>
          <w:color w:val="000000"/>
          <w:bdr w:val="nil"/>
          <w:lang w:eastAsia="es-ES"/>
        </w:rPr>
        <w:t>, 7</w:t>
      </w:r>
      <w:r w:rsidRPr="00395962">
        <w:rPr>
          <w:color w:val="000000"/>
          <w:bdr w:val="nil"/>
          <w:lang w:eastAsia="es-ES"/>
        </w:rPr>
        <w:t xml:space="preserve">(3), 401–419. </w:t>
      </w:r>
      <w:hyperlink r:id="rId53" w:history="1">
        <w:r w:rsidRPr="00395962">
          <w:rPr>
            <w:color w:val="000000"/>
            <w:bdr w:val="nil"/>
            <w:lang w:eastAsia="es-ES"/>
          </w:rPr>
          <w:t>https://doi.org/</w:t>
        </w:r>
        <w:r w:rsidRPr="00395962">
          <w:rPr>
            <w:color w:val="000000"/>
            <w:bdr w:val="nil"/>
            <w:shd w:val="clear" w:color="auto" w:fill="FFFFFF"/>
            <w:lang w:eastAsia="es-ES"/>
          </w:rPr>
          <w:t>10.1177/2332649220942265</w:t>
        </w:r>
      </w:hyperlink>
    </w:p>
    <w:p w14:paraId="6BB2EDA3" w14:textId="77777777" w:rsidR="00C00B69" w:rsidRPr="00395962" w:rsidRDefault="00C00B69" w:rsidP="00C00B69">
      <w:pPr>
        <w:spacing w:before="0" w:line="240" w:lineRule="auto"/>
        <w:ind w:left="567" w:hanging="567"/>
        <w:jc w:val="left"/>
        <w:rPr>
          <w:sz w:val="24"/>
          <w:szCs w:val="24"/>
        </w:rPr>
      </w:pPr>
      <w:r w:rsidRPr="00395962">
        <w:rPr>
          <w:rFonts w:eastAsia="Arial Unicode MS"/>
          <w:color w:val="000000"/>
          <w:bdr w:val="nil"/>
          <w:shd w:val="clear" w:color="auto" w:fill="FFFFFF"/>
          <w:lang w:eastAsia="es-ES"/>
        </w:rPr>
        <w:t xml:space="preserve">Ministerio de Educación y Formación Profesional. (2023a). </w:t>
      </w:r>
      <w:r w:rsidRPr="00395962">
        <w:rPr>
          <w:rFonts w:eastAsia="Arial Unicode MS"/>
          <w:i/>
          <w:iCs/>
          <w:color w:val="000000"/>
          <w:bdr w:val="nil"/>
          <w:shd w:val="clear" w:color="auto" w:fill="FFFFFF"/>
          <w:lang w:eastAsia="es-ES"/>
        </w:rPr>
        <w:t xml:space="preserve">PIRLS 2021. Estudio Internacional de Progreso en Comprensión Lectora. </w:t>
      </w:r>
      <w:r w:rsidRPr="00395962">
        <w:rPr>
          <w:rFonts w:eastAsia="Arial Unicode MS"/>
          <w:i/>
          <w:iCs/>
          <w:color w:val="000000"/>
          <w:bdr w:val="nil"/>
          <w:shd w:val="clear" w:color="auto" w:fill="FFFFFF"/>
          <w:lang w:val="en-US" w:eastAsia="es-ES"/>
        </w:rPr>
        <w:t xml:space="preserve">Informe Español. </w:t>
      </w:r>
      <w:hyperlink r:id="rId54" w:tgtFrame="_blank" w:history="1">
        <w:r w:rsidRPr="00395962">
          <w:rPr>
            <w:color w:val="000000"/>
            <w:u w:val="single"/>
          </w:rPr>
          <w:t>bit.ly/3Y1L88x</w:t>
        </w:r>
      </w:hyperlink>
    </w:p>
    <w:p w14:paraId="4A537050"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shd w:val="clear" w:color="auto" w:fill="FFFFFF"/>
          <w:lang w:eastAsia="es-ES"/>
        </w:rPr>
      </w:pPr>
      <w:r w:rsidRPr="00395962">
        <w:rPr>
          <w:rFonts w:eastAsia="Arial Unicode MS"/>
          <w:color w:val="000000"/>
          <w:bdr w:val="nil"/>
          <w:shd w:val="clear" w:color="auto" w:fill="FFFFFF"/>
          <w:lang w:eastAsia="es-ES"/>
        </w:rPr>
        <w:t xml:space="preserve">Ministerio de Educación y Formación Profesional. (2023b). </w:t>
      </w:r>
      <w:r w:rsidRPr="00395962">
        <w:rPr>
          <w:rFonts w:eastAsia="Arial Unicode MS"/>
          <w:i/>
          <w:iCs/>
          <w:color w:val="000000"/>
          <w:bdr w:val="nil"/>
          <w:shd w:val="clear" w:color="auto" w:fill="FFFFFF"/>
          <w:lang w:eastAsia="es-ES"/>
        </w:rPr>
        <w:t xml:space="preserve">PIRLS 2021. Base de datos. </w:t>
      </w:r>
      <w:hyperlink r:id="rId55" w:history="1">
        <w:r w:rsidRPr="00395962">
          <w:rPr>
            <w:rFonts w:eastAsia="Arial Unicode MS"/>
            <w:u w:val="single"/>
            <w:bdr w:val="nil"/>
            <w:shd w:val="clear" w:color="auto" w:fill="FFFFFF"/>
            <w:lang w:eastAsia="es-ES"/>
          </w:rPr>
          <w:t>https://pirls2021.org/data/</w:t>
        </w:r>
      </w:hyperlink>
    </w:p>
    <w:p w14:paraId="7E088EB1"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i/>
          <w:iCs/>
          <w:color w:val="000000"/>
          <w:bdr w:val="nil"/>
          <w:shd w:val="clear" w:color="auto" w:fill="FFFFFF"/>
          <w:lang w:eastAsia="es-ES"/>
        </w:rPr>
      </w:pPr>
      <w:r w:rsidRPr="00395962">
        <w:rPr>
          <w:rFonts w:eastAsia="Arial Unicode MS"/>
          <w:bdr w:val="nil"/>
          <w:lang w:eastAsia="es-ES"/>
        </w:rPr>
        <w:t>Mullis, I. V. S. y Martin, M. O. (Eds.). (2019). </w:t>
      </w:r>
      <w:r w:rsidRPr="00395962">
        <w:rPr>
          <w:rFonts w:eastAsia="Arial Unicode MS"/>
          <w:i/>
          <w:iCs/>
          <w:bdr w:val="nil"/>
          <w:lang w:eastAsia="es-ES"/>
        </w:rPr>
        <w:t xml:space="preserve">PIRLS 2021 </w:t>
      </w:r>
      <w:proofErr w:type="spellStart"/>
      <w:r w:rsidRPr="00395962">
        <w:rPr>
          <w:rFonts w:eastAsia="Arial Unicode MS"/>
          <w:i/>
          <w:iCs/>
          <w:bdr w:val="nil"/>
          <w:lang w:eastAsia="es-ES"/>
        </w:rPr>
        <w:t>Assessment</w:t>
      </w:r>
      <w:proofErr w:type="spellEnd"/>
      <w:r w:rsidRPr="00395962">
        <w:rPr>
          <w:rFonts w:eastAsia="Arial Unicode MS"/>
          <w:i/>
          <w:iCs/>
          <w:bdr w:val="nil"/>
          <w:lang w:eastAsia="es-ES"/>
        </w:rPr>
        <w:t xml:space="preserve"> </w:t>
      </w:r>
      <w:proofErr w:type="spellStart"/>
      <w:r w:rsidRPr="00395962">
        <w:rPr>
          <w:rFonts w:eastAsia="Arial Unicode MS"/>
          <w:i/>
          <w:iCs/>
          <w:bdr w:val="nil"/>
          <w:lang w:eastAsia="es-ES"/>
        </w:rPr>
        <w:t>Frameworks</w:t>
      </w:r>
      <w:proofErr w:type="spellEnd"/>
      <w:r w:rsidRPr="00395962">
        <w:rPr>
          <w:rFonts w:eastAsia="Arial Unicode MS"/>
          <w:bdr w:val="nil"/>
          <w:lang w:eastAsia="es-ES"/>
        </w:rPr>
        <w:t xml:space="preserve">. </w:t>
      </w:r>
      <w:proofErr w:type="spellStart"/>
      <w:r w:rsidRPr="00395962">
        <w:rPr>
          <w:rFonts w:eastAsia="Arial Unicode MS"/>
          <w:bdr w:val="nil"/>
          <w:lang w:eastAsia="es-ES"/>
        </w:rPr>
        <w:t>Retrieved</w:t>
      </w:r>
      <w:proofErr w:type="spellEnd"/>
      <w:r w:rsidRPr="00395962">
        <w:rPr>
          <w:rFonts w:eastAsia="Arial Unicode MS"/>
          <w:bdr w:val="nil"/>
          <w:lang w:eastAsia="es-ES"/>
        </w:rPr>
        <w:t xml:space="preserve"> </w:t>
      </w:r>
      <w:proofErr w:type="spellStart"/>
      <w:r w:rsidRPr="00395962">
        <w:rPr>
          <w:rFonts w:eastAsia="Arial Unicode MS"/>
          <w:bdr w:val="nil"/>
          <w:lang w:eastAsia="es-ES"/>
        </w:rPr>
        <w:t>from</w:t>
      </w:r>
      <w:proofErr w:type="spellEnd"/>
      <w:r w:rsidRPr="00395962">
        <w:rPr>
          <w:rFonts w:eastAsia="Arial Unicode MS"/>
          <w:bdr w:val="nil"/>
          <w:lang w:eastAsia="es-ES"/>
        </w:rPr>
        <w:t xml:space="preserve"> Boston </w:t>
      </w:r>
      <w:proofErr w:type="spellStart"/>
      <w:r w:rsidRPr="00395962">
        <w:rPr>
          <w:rFonts w:eastAsia="Arial Unicode MS"/>
          <w:bdr w:val="nil"/>
          <w:lang w:eastAsia="es-ES"/>
        </w:rPr>
        <w:t>College</w:t>
      </w:r>
      <w:proofErr w:type="spellEnd"/>
      <w:r w:rsidRPr="00395962">
        <w:rPr>
          <w:rFonts w:eastAsia="Arial Unicode MS"/>
          <w:bdr w:val="nil"/>
          <w:lang w:eastAsia="es-ES"/>
        </w:rPr>
        <w:t xml:space="preserve">, TIMSS &amp; PIRLS International </w:t>
      </w:r>
      <w:proofErr w:type="spellStart"/>
      <w:r w:rsidRPr="00395962">
        <w:rPr>
          <w:rFonts w:eastAsia="Arial Unicode MS"/>
          <w:bdr w:val="nil"/>
          <w:lang w:eastAsia="es-ES"/>
        </w:rPr>
        <w:t>Study</w:t>
      </w:r>
      <w:proofErr w:type="spellEnd"/>
      <w:r w:rsidRPr="00395962">
        <w:rPr>
          <w:rFonts w:eastAsia="Arial Unicode MS"/>
          <w:bdr w:val="nil"/>
          <w:lang w:eastAsia="es-ES"/>
        </w:rPr>
        <w:t xml:space="preserve"> Center </w:t>
      </w:r>
      <w:proofErr w:type="spellStart"/>
      <w:r w:rsidRPr="00395962">
        <w:rPr>
          <w:rFonts w:eastAsia="Arial Unicode MS"/>
          <w:bdr w:val="nil"/>
          <w:lang w:eastAsia="es-ES"/>
        </w:rPr>
        <w:t>website</w:t>
      </w:r>
      <w:proofErr w:type="spellEnd"/>
      <w:r w:rsidRPr="00395962">
        <w:rPr>
          <w:rFonts w:eastAsia="Arial Unicode MS"/>
          <w:bdr w:val="nil"/>
          <w:lang w:eastAsia="es-ES"/>
        </w:rPr>
        <w:t xml:space="preserve">: </w:t>
      </w:r>
      <w:hyperlink r:id="rId56" w:history="1">
        <w:r w:rsidRPr="00395962">
          <w:rPr>
            <w:rFonts w:eastAsia="Arial Unicode MS"/>
            <w:color w:val="000000" w:themeColor="text1"/>
            <w:u w:val="single"/>
            <w:bdr w:val="nil"/>
            <w:lang w:eastAsia="es-ES"/>
          </w:rPr>
          <w:t>https://timssandpirls.bc.edu/pirls2021/frameworks/</w:t>
        </w:r>
      </w:hyperlink>
    </w:p>
    <w:p w14:paraId="29571024"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shd w:val="clear" w:color="auto" w:fill="FFFFFF"/>
          <w:lang w:eastAsia="es-ES"/>
        </w:rPr>
      </w:pPr>
      <w:r w:rsidRPr="00395962">
        <w:rPr>
          <w:rFonts w:eastAsia="Arial Unicode MS"/>
          <w:color w:val="000000"/>
          <w:bdr w:val="nil"/>
          <w:shd w:val="clear" w:color="auto" w:fill="FFFFFF"/>
          <w:lang w:eastAsia="es-ES"/>
        </w:rPr>
        <w:t xml:space="preserve">Nilsen, T. y </w:t>
      </w:r>
      <w:proofErr w:type="spellStart"/>
      <w:r w:rsidRPr="00395962">
        <w:rPr>
          <w:rFonts w:eastAsia="Arial Unicode MS"/>
          <w:color w:val="000000"/>
          <w:bdr w:val="nil"/>
          <w:shd w:val="clear" w:color="auto" w:fill="FFFFFF"/>
          <w:lang w:eastAsia="es-ES"/>
        </w:rPr>
        <w:t>Gustafsson</w:t>
      </w:r>
      <w:proofErr w:type="spellEnd"/>
      <w:r w:rsidRPr="00395962">
        <w:rPr>
          <w:rFonts w:eastAsia="Arial Unicode MS"/>
          <w:color w:val="000000"/>
          <w:bdr w:val="nil"/>
          <w:shd w:val="clear" w:color="auto" w:fill="FFFFFF"/>
          <w:lang w:eastAsia="es-ES"/>
        </w:rPr>
        <w:t xml:space="preserve">, J. E. (2014).  </w:t>
      </w:r>
      <w:proofErr w:type="spellStart"/>
      <w:r w:rsidRPr="00395962">
        <w:rPr>
          <w:rFonts w:eastAsia="Arial Unicode MS"/>
          <w:color w:val="000000"/>
          <w:bdr w:val="nil"/>
          <w:lang w:eastAsia="es-ES"/>
        </w:rPr>
        <w:t>School</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emphasis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academic</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success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exploring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changes</w:t>
      </w:r>
      <w:proofErr w:type="spellEnd"/>
      <w:r w:rsidRPr="00395962">
        <w:rPr>
          <w:rFonts w:eastAsia="Arial Unicode MS"/>
          <w:color w:val="000000"/>
          <w:bdr w:val="nil"/>
          <w:lang w:eastAsia="es-ES"/>
        </w:rPr>
        <w:t xml:space="preserve"> in </w:t>
      </w:r>
      <w:proofErr w:type="spellStart"/>
      <w:r w:rsidRPr="00395962">
        <w:rPr>
          <w:rFonts w:eastAsia="Arial Unicode MS"/>
          <w:color w:val="000000"/>
          <w:bdr w:val="nil"/>
          <w:lang w:eastAsia="es-ES"/>
        </w:rPr>
        <w:t>science</w:t>
      </w:r>
      <w:proofErr w:type="spellEnd"/>
      <w:r w:rsidRPr="00395962">
        <w:rPr>
          <w:rFonts w:eastAsia="Arial Unicode MS"/>
          <w:color w:val="000000"/>
          <w:bdr w:val="nil"/>
          <w:lang w:eastAsia="es-ES"/>
        </w:rPr>
        <w:t xml:space="preserve"> performance in </w:t>
      </w:r>
      <w:proofErr w:type="spellStart"/>
      <w:r w:rsidRPr="00395962">
        <w:rPr>
          <w:rFonts w:eastAsia="Arial Unicode MS"/>
          <w:color w:val="000000"/>
          <w:bdr w:val="nil"/>
          <w:lang w:eastAsia="es-ES"/>
        </w:rPr>
        <w:t>Norway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between</w:t>
      </w:r>
      <w:proofErr w:type="spellEnd"/>
      <w:r w:rsidRPr="00395962">
        <w:rPr>
          <w:rFonts w:eastAsia="Arial Unicode MS"/>
          <w:color w:val="000000"/>
          <w:bdr w:val="nil"/>
          <w:lang w:eastAsia="es-ES"/>
        </w:rPr>
        <w:t xml:space="preserve"> 2007 and 2011 </w:t>
      </w:r>
      <w:proofErr w:type="spellStart"/>
      <w:r w:rsidRPr="00395962">
        <w:rPr>
          <w:rFonts w:eastAsia="Arial Unicode MS"/>
          <w:color w:val="000000"/>
          <w:bdr w:val="nil"/>
          <w:lang w:eastAsia="es-ES"/>
        </w:rPr>
        <w:t>employing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two-level</w:t>
      </w:r>
      <w:proofErr w:type="spellEnd"/>
      <w:r w:rsidRPr="00395962">
        <w:rPr>
          <w:rFonts w:eastAsia="Arial Unicode MS"/>
          <w:color w:val="000000"/>
          <w:bdr w:val="nil"/>
          <w:lang w:eastAsia="es-ES"/>
        </w:rPr>
        <w:t xml:space="preserve"> SE</w:t>
      </w:r>
      <w:r w:rsidRPr="00395962">
        <w:rPr>
          <w:rFonts w:eastAsia="Arial Unicode MS"/>
          <w:color w:val="000000"/>
          <w:bdr w:val="nil"/>
          <w:shd w:val="clear" w:color="auto" w:fill="FFFFFF"/>
          <w:lang w:eastAsia="es-ES"/>
        </w:rPr>
        <w:t xml:space="preserve">M. </w:t>
      </w:r>
      <w:r w:rsidRPr="00395962">
        <w:rPr>
          <w:rFonts w:eastAsia="Arial Unicode MS"/>
          <w:i/>
          <w:iCs/>
          <w:color w:val="000000"/>
          <w:bdr w:val="nil"/>
          <w:shd w:val="clear" w:color="auto" w:fill="FFFFFF"/>
          <w:lang w:val="en-US" w:eastAsia="es-ES"/>
        </w:rPr>
        <w:t>Educational Research and Evaluation, 20</w:t>
      </w:r>
      <w:r w:rsidRPr="00395962">
        <w:rPr>
          <w:rFonts w:eastAsia="Arial Unicode MS"/>
          <w:color w:val="000000"/>
          <w:bdr w:val="nil"/>
          <w:shd w:val="clear" w:color="auto" w:fill="FFFFFF"/>
          <w:lang w:val="en-US" w:eastAsia="es-ES"/>
        </w:rPr>
        <w:t xml:space="preserve">(4), 308–327. </w:t>
      </w:r>
      <w:hyperlink r:id="rId57" w:history="1">
        <w:r w:rsidRPr="00395962">
          <w:rPr>
            <w:rFonts w:eastAsia="Arial Unicode MS"/>
            <w:color w:val="000000"/>
            <w:bdr w:val="nil"/>
            <w:lang w:val="en-US" w:eastAsia="es-ES"/>
          </w:rPr>
          <w:t>https://doi.org/10.1080/13803611.2014.941371</w:t>
        </w:r>
      </w:hyperlink>
    </w:p>
    <w:p w14:paraId="0C130807"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r w:rsidRPr="00395962">
        <w:rPr>
          <w:rFonts w:eastAsia="Arial Unicode MS"/>
          <w:color w:val="000000"/>
          <w:bdr w:val="nil"/>
          <w:shd w:val="clear" w:color="auto" w:fill="FFFFFF"/>
          <w:lang w:eastAsia="es-ES"/>
        </w:rPr>
        <w:t xml:space="preserve">Olsen, A. y Huang, F. L. (2022). </w:t>
      </w:r>
      <w:proofErr w:type="spellStart"/>
      <w:r w:rsidRPr="00395962">
        <w:rPr>
          <w:rFonts w:eastAsia="Arial Unicode MS"/>
          <w:color w:val="000000"/>
          <w:bdr w:val="nil"/>
          <w:lang w:eastAsia="es-ES"/>
        </w:rPr>
        <w:t>Interaction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of</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socioeconomic</w:t>
      </w:r>
      <w:proofErr w:type="spellEnd"/>
      <w:r w:rsidRPr="00395962">
        <w:rPr>
          <w:rFonts w:eastAsia="Arial Unicode MS"/>
          <w:color w:val="000000"/>
          <w:bdr w:val="nil"/>
          <w:lang w:eastAsia="es-ES"/>
        </w:rPr>
        <w:t xml:space="preserve"> </w:t>
      </w:r>
      <w:proofErr w:type="gramStart"/>
      <w:r w:rsidRPr="00395962">
        <w:rPr>
          <w:rFonts w:eastAsia="Arial Unicode MS"/>
          <w:color w:val="000000"/>
          <w:bdr w:val="nil"/>
          <w:lang w:eastAsia="es-ES"/>
        </w:rPr>
        <w:t>status</w:t>
      </w:r>
      <w:proofErr w:type="gramEnd"/>
      <w:r w:rsidRPr="00395962">
        <w:rPr>
          <w:rFonts w:eastAsia="Arial Unicode MS"/>
          <w:color w:val="000000"/>
          <w:bdr w:val="nil"/>
          <w:lang w:eastAsia="es-ES"/>
        </w:rPr>
        <w:t xml:space="preserve"> and </w:t>
      </w:r>
      <w:proofErr w:type="spellStart"/>
      <w:r w:rsidRPr="00395962">
        <w:rPr>
          <w:rFonts w:eastAsia="Arial Unicode MS"/>
          <w:color w:val="000000"/>
          <w:bdr w:val="nil"/>
          <w:lang w:eastAsia="es-ES"/>
        </w:rPr>
        <w:t>class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relations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reading</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US" w:eastAsia="es-ES"/>
        </w:rPr>
        <w:t>Journal of Literacy Research, 54</w:t>
      </w:r>
      <w:r w:rsidRPr="00395962">
        <w:rPr>
          <w:rFonts w:eastAsia="Arial Unicode MS"/>
          <w:color w:val="000000"/>
          <w:bdr w:val="nil"/>
          <w:lang w:val="en-US" w:eastAsia="es-ES"/>
        </w:rPr>
        <w:t xml:space="preserve">(3), 346–369. </w:t>
      </w:r>
      <w:hyperlink r:id="rId58" w:history="1">
        <w:r w:rsidRPr="00395962">
          <w:rPr>
            <w:rFonts w:eastAsia="Arial Unicode MS"/>
            <w:color w:val="000000"/>
            <w:bdr w:val="nil"/>
            <w:lang w:val="en-US" w:eastAsia="es-ES"/>
          </w:rPr>
          <w:t>https://doi.org/10.1177/1086296X221116866</w:t>
        </w:r>
      </w:hyperlink>
      <w:r w:rsidRPr="00395962">
        <w:rPr>
          <w:rFonts w:eastAsia="Arial Unicode MS"/>
          <w:color w:val="000000"/>
          <w:bdr w:val="nil"/>
          <w:lang w:val="en-US" w:eastAsia="es-ES"/>
        </w:rPr>
        <w:t xml:space="preserve"> </w:t>
      </w:r>
    </w:p>
    <w:p w14:paraId="5127AAF1"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val="en-US" w:eastAsia="es-ES"/>
        </w:rPr>
      </w:pPr>
      <w:r w:rsidRPr="00395962">
        <w:rPr>
          <w:rFonts w:eastAsia="Arial Unicode MS"/>
          <w:color w:val="000000"/>
          <w:bdr w:val="nil"/>
          <w:lang w:val="en-US" w:eastAsia="es-ES"/>
        </w:rPr>
        <w:t xml:space="preserve">Owens, A. (2018). Income segregation between school district and inequality in students´ achievement. </w:t>
      </w:r>
      <w:r w:rsidRPr="00395962">
        <w:rPr>
          <w:rFonts w:eastAsia="Arial Unicode MS"/>
          <w:i/>
          <w:iCs/>
          <w:color w:val="000000"/>
          <w:bdr w:val="nil"/>
          <w:lang w:val="en-US" w:eastAsia="es-ES"/>
        </w:rPr>
        <w:t>Sociology of Education, 91</w:t>
      </w:r>
      <w:r w:rsidRPr="00395962">
        <w:rPr>
          <w:rFonts w:eastAsia="Arial Unicode MS"/>
          <w:color w:val="000000"/>
          <w:bdr w:val="nil"/>
          <w:lang w:val="en-US" w:eastAsia="es-ES"/>
        </w:rPr>
        <w:t xml:space="preserve">(1), 1–27. </w:t>
      </w:r>
      <w:hyperlink r:id="rId59" w:history="1">
        <w:r w:rsidRPr="00395962">
          <w:rPr>
            <w:rFonts w:eastAsia="Arial Unicode MS"/>
            <w:color w:val="000000"/>
            <w:bdr w:val="nil"/>
            <w:lang w:val="en-US" w:eastAsia="es-ES"/>
          </w:rPr>
          <w:t>https://doi.org/10.1177/0038040717741180</w:t>
        </w:r>
      </w:hyperlink>
    </w:p>
    <w:p w14:paraId="79D5B471"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r w:rsidRPr="00395962">
        <w:rPr>
          <w:rFonts w:eastAsia="Arial Unicode MS"/>
          <w:color w:val="000000"/>
          <w:bdr w:val="nil"/>
          <w:lang w:val="en-US" w:eastAsia="es-ES"/>
        </w:rPr>
        <w:t xml:space="preserve">Pardo, A., Ruiz, M. A. y San Martín, R. (2007). </w:t>
      </w:r>
      <w:proofErr w:type="spellStart"/>
      <w:r w:rsidRPr="00395962">
        <w:rPr>
          <w:rFonts w:eastAsia="Arial Unicode MS"/>
          <w:color w:val="000000"/>
          <w:bdr w:val="nil"/>
          <w:lang w:val="en-US" w:eastAsia="es-ES"/>
        </w:rPr>
        <w:t>Cómo</w:t>
      </w:r>
      <w:proofErr w:type="spellEnd"/>
      <w:r w:rsidRPr="00395962">
        <w:rPr>
          <w:rFonts w:eastAsia="Arial Unicode MS"/>
          <w:color w:val="000000"/>
          <w:bdr w:val="nil"/>
          <w:lang w:val="en-US" w:eastAsia="es-ES"/>
        </w:rPr>
        <w:t xml:space="preserve"> </w:t>
      </w:r>
      <w:proofErr w:type="spellStart"/>
      <w:r w:rsidRPr="00395962">
        <w:rPr>
          <w:rFonts w:eastAsia="Arial Unicode MS"/>
          <w:color w:val="000000"/>
          <w:bdr w:val="nil"/>
          <w:lang w:val="en-US" w:eastAsia="es-ES"/>
        </w:rPr>
        <w:t>ajustar</w:t>
      </w:r>
      <w:proofErr w:type="spellEnd"/>
      <w:r w:rsidRPr="00395962">
        <w:rPr>
          <w:rFonts w:eastAsia="Arial Unicode MS"/>
          <w:color w:val="000000"/>
          <w:bdr w:val="nil"/>
          <w:lang w:val="en-US" w:eastAsia="es-ES"/>
        </w:rPr>
        <w:t xml:space="preserve"> e interpreter </w:t>
      </w:r>
      <w:proofErr w:type="spellStart"/>
      <w:r w:rsidRPr="00395962">
        <w:rPr>
          <w:rFonts w:eastAsia="Arial Unicode MS"/>
          <w:color w:val="000000"/>
          <w:bdr w:val="nil"/>
          <w:lang w:val="en-US" w:eastAsia="es-ES"/>
        </w:rPr>
        <w:t>modelos</w:t>
      </w:r>
      <w:proofErr w:type="spellEnd"/>
      <w:r w:rsidRPr="00395962">
        <w:rPr>
          <w:rFonts w:eastAsia="Arial Unicode MS"/>
          <w:color w:val="000000"/>
          <w:bdr w:val="nil"/>
          <w:lang w:val="en-US" w:eastAsia="es-ES"/>
        </w:rPr>
        <w:t xml:space="preserve"> </w:t>
      </w:r>
      <w:proofErr w:type="spellStart"/>
      <w:r w:rsidRPr="00395962">
        <w:rPr>
          <w:rFonts w:eastAsia="Arial Unicode MS"/>
          <w:color w:val="000000"/>
          <w:bdr w:val="nil"/>
          <w:lang w:val="en-US" w:eastAsia="es-ES"/>
        </w:rPr>
        <w:t>multinivel</w:t>
      </w:r>
      <w:proofErr w:type="spellEnd"/>
      <w:r w:rsidRPr="00395962">
        <w:rPr>
          <w:rFonts w:eastAsia="Arial Unicode MS"/>
          <w:color w:val="000000"/>
          <w:bdr w:val="nil"/>
          <w:lang w:val="en-US" w:eastAsia="es-ES"/>
        </w:rPr>
        <w:t xml:space="preserve"> con SPSS. </w:t>
      </w:r>
      <w:proofErr w:type="spellStart"/>
      <w:r w:rsidRPr="00395962">
        <w:rPr>
          <w:rFonts w:eastAsia="Arial Unicode MS"/>
          <w:i/>
          <w:iCs/>
          <w:color w:val="000000"/>
          <w:bdr w:val="nil"/>
          <w:lang w:val="en-US" w:eastAsia="es-ES"/>
        </w:rPr>
        <w:t>Psicothema</w:t>
      </w:r>
      <w:proofErr w:type="spellEnd"/>
      <w:r w:rsidRPr="00395962">
        <w:rPr>
          <w:rFonts w:eastAsia="Arial Unicode MS"/>
          <w:i/>
          <w:iCs/>
          <w:color w:val="000000"/>
          <w:bdr w:val="nil"/>
          <w:lang w:val="en-US" w:eastAsia="es-ES"/>
        </w:rPr>
        <w:t>, 19</w:t>
      </w:r>
      <w:r w:rsidRPr="00395962">
        <w:rPr>
          <w:rFonts w:eastAsia="Arial Unicode MS"/>
          <w:color w:val="000000"/>
          <w:bdr w:val="nil"/>
          <w:lang w:val="en-US" w:eastAsia="es-ES"/>
        </w:rPr>
        <w:t xml:space="preserve">(2), 308-321. </w:t>
      </w:r>
    </w:p>
    <w:p w14:paraId="16784B8A"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shd w:val="clear" w:color="auto" w:fill="FFFFFF"/>
          <w:lang w:val="en-US" w:eastAsia="es-ES"/>
        </w:rPr>
      </w:pPr>
      <w:r w:rsidRPr="00395962">
        <w:rPr>
          <w:rFonts w:eastAsia="Arial Unicode MS"/>
          <w:color w:val="000000"/>
          <w:bdr w:val="nil"/>
          <w:shd w:val="clear" w:color="auto" w:fill="FFFFFF"/>
          <w:lang w:val="en-US" w:eastAsia="es-ES"/>
        </w:rPr>
        <w:t xml:space="preserve">Park, S. y Holloway, S. D. (2017). </w:t>
      </w:r>
      <w:proofErr w:type="spellStart"/>
      <w:r w:rsidRPr="00395962">
        <w:rPr>
          <w:rFonts w:eastAsia="Arial Unicode MS"/>
          <w:color w:val="000000"/>
          <w:bdr w:val="nil"/>
          <w:lang w:eastAsia="es-ES"/>
        </w:rPr>
        <w:t>The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effects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of</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school-based</w:t>
      </w:r>
      <w:proofErr w:type="spellEnd"/>
      <w:r w:rsidRPr="00395962">
        <w:rPr>
          <w:rFonts w:eastAsia="Arial Unicode MS"/>
          <w:color w:val="000000"/>
          <w:bdr w:val="nil"/>
          <w:lang w:eastAsia="es-ES"/>
        </w:rPr>
        <w:t xml:space="preserve"> parental </w:t>
      </w:r>
      <w:proofErr w:type="spellStart"/>
      <w:r w:rsidRPr="00395962">
        <w:rPr>
          <w:rFonts w:eastAsia="Arial Unicode MS"/>
          <w:color w:val="000000"/>
          <w:bdr w:val="nil"/>
          <w:lang w:eastAsia="es-ES"/>
        </w:rPr>
        <w:t>involvement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academic</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at </w:t>
      </w:r>
      <w:proofErr w:type="spellStart"/>
      <w:r w:rsidRPr="00395962">
        <w:rPr>
          <w:rFonts w:eastAsia="Arial Unicode MS"/>
          <w:color w:val="000000"/>
          <w:bdr w:val="nil"/>
          <w:lang w:eastAsia="es-ES"/>
        </w:rPr>
        <w:t>the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child</w:t>
      </w:r>
      <w:proofErr w:type="spellEnd"/>
      <w:r w:rsidRPr="00395962">
        <w:rPr>
          <w:rFonts w:eastAsia="Arial Unicode MS"/>
          <w:color w:val="000000"/>
          <w:bdr w:val="nil"/>
          <w:lang w:eastAsia="es-ES"/>
        </w:rPr>
        <w:t xml:space="preserve"> and </w:t>
      </w:r>
      <w:proofErr w:type="spellStart"/>
      <w:r w:rsidRPr="00395962">
        <w:rPr>
          <w:rFonts w:eastAsia="Arial Unicode MS"/>
          <w:color w:val="000000"/>
          <w:bdr w:val="nil"/>
          <w:lang w:eastAsia="es-ES"/>
        </w:rPr>
        <w:t>elementary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school</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lastRenderedPageBreak/>
        <w:t>level</w:t>
      </w:r>
      <w:proofErr w:type="spellEnd"/>
      <w:r w:rsidRPr="00395962">
        <w:rPr>
          <w:rFonts w:eastAsia="Arial Unicode MS"/>
          <w:color w:val="000000"/>
          <w:bdr w:val="nil"/>
          <w:lang w:eastAsia="es-ES"/>
        </w:rPr>
        <w:t xml:space="preserve">: A longitudinal </w:t>
      </w:r>
      <w:proofErr w:type="spellStart"/>
      <w:r w:rsidRPr="00395962">
        <w:rPr>
          <w:rFonts w:eastAsia="Arial Unicode MS"/>
          <w:color w:val="000000"/>
          <w:bdr w:val="nil"/>
          <w:lang w:eastAsia="es-ES"/>
        </w:rPr>
        <w:t>study</w:t>
      </w:r>
      <w:proofErr w:type="spellEnd"/>
      <w:r w:rsidRPr="00395962">
        <w:rPr>
          <w:rFonts w:eastAsia="Arial Unicode MS"/>
          <w:color w:val="000000"/>
          <w:bdr w:val="nil"/>
          <w:lang w:eastAsia="es-ES"/>
        </w:rPr>
        <w:t xml:space="preserve">. </w:t>
      </w:r>
      <w:r w:rsidRPr="00395962">
        <w:rPr>
          <w:rFonts w:eastAsia="Arial Unicode MS"/>
          <w:i/>
          <w:iCs/>
          <w:color w:val="000000"/>
          <w:bdr w:val="nil"/>
          <w:shd w:val="clear" w:color="auto" w:fill="FFFFFF"/>
          <w:lang w:val="en-US" w:eastAsia="es-ES"/>
        </w:rPr>
        <w:t>The Journal of Educational Research, 110</w:t>
      </w:r>
      <w:r w:rsidRPr="00395962">
        <w:rPr>
          <w:rFonts w:eastAsia="Arial Unicode MS"/>
          <w:color w:val="000000"/>
          <w:bdr w:val="nil"/>
          <w:shd w:val="clear" w:color="auto" w:fill="FFFFFF"/>
          <w:lang w:val="en-US" w:eastAsia="es-ES"/>
        </w:rPr>
        <w:t xml:space="preserve">(1), 1–16. </w:t>
      </w:r>
      <w:hyperlink r:id="rId60" w:history="1">
        <w:r w:rsidRPr="00395962">
          <w:rPr>
            <w:rFonts w:eastAsia="Arial Unicode MS"/>
            <w:color w:val="000000"/>
            <w:bdr w:val="nil"/>
            <w:shd w:val="clear" w:color="auto" w:fill="FFFFFF"/>
            <w:lang w:val="en-US" w:eastAsia="es-ES"/>
          </w:rPr>
          <w:t>https://doi.org/10.1080/00220671.2015.1016600</w:t>
        </w:r>
      </w:hyperlink>
      <w:r w:rsidRPr="00395962">
        <w:rPr>
          <w:rFonts w:eastAsia="Arial Unicode MS"/>
          <w:color w:val="000000"/>
          <w:bdr w:val="nil"/>
          <w:shd w:val="clear" w:color="auto" w:fill="FFFFFF"/>
          <w:lang w:val="en-US" w:eastAsia="es-ES"/>
        </w:rPr>
        <w:t xml:space="preserve"> </w:t>
      </w:r>
    </w:p>
    <w:p w14:paraId="1FF6A39C"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bdr w:val="nil"/>
          <w:lang w:eastAsia="es-ES"/>
        </w:rPr>
      </w:pPr>
      <w:r w:rsidRPr="00395962">
        <w:rPr>
          <w:rFonts w:eastAsia="Arial Unicode MS"/>
          <w:bdr w:val="nil"/>
          <w:lang w:eastAsia="es-ES"/>
        </w:rPr>
        <w:t xml:space="preserve">Quezada </w:t>
      </w:r>
      <w:proofErr w:type="spellStart"/>
      <w:r w:rsidRPr="00395962">
        <w:rPr>
          <w:rFonts w:eastAsia="Arial Unicode MS"/>
          <w:bdr w:val="nil"/>
          <w:lang w:eastAsia="es-ES"/>
        </w:rPr>
        <w:t>Gaponov</w:t>
      </w:r>
      <w:proofErr w:type="spellEnd"/>
      <w:r w:rsidRPr="00395962">
        <w:rPr>
          <w:rFonts w:eastAsia="Arial Unicode MS"/>
          <w:bdr w:val="nil"/>
          <w:lang w:eastAsia="es-ES"/>
        </w:rPr>
        <w:t xml:space="preserve">, C., Aravena, S., Maldonado, M. y Coloma, C. J. (2024). Desarrollo de las habilidades lingüísticas y lectoras y su relación con la comprensión de textos narrativos y expositivos en estudiantes de segundo y tercer grado. </w:t>
      </w:r>
      <w:r w:rsidRPr="00395962">
        <w:rPr>
          <w:rFonts w:eastAsia="Arial Unicode MS"/>
          <w:i/>
          <w:iCs/>
          <w:bdr w:val="nil"/>
          <w:lang w:eastAsia="es-ES"/>
        </w:rPr>
        <w:t>Investigaciones Sobre Lectura</w:t>
      </w:r>
      <w:r w:rsidRPr="00395962">
        <w:rPr>
          <w:rFonts w:eastAsia="Arial Unicode MS"/>
          <w:bdr w:val="nil"/>
          <w:lang w:eastAsia="es-ES"/>
        </w:rPr>
        <w:t xml:space="preserve">, </w:t>
      </w:r>
      <w:r w:rsidRPr="00395962">
        <w:rPr>
          <w:rFonts w:eastAsia="Arial Unicode MS"/>
          <w:i/>
          <w:iCs/>
          <w:bdr w:val="nil"/>
          <w:lang w:eastAsia="es-ES"/>
        </w:rPr>
        <w:t>18</w:t>
      </w:r>
      <w:r w:rsidRPr="00395962">
        <w:rPr>
          <w:rFonts w:eastAsia="Arial Unicode MS"/>
          <w:bdr w:val="nil"/>
          <w:lang w:eastAsia="es-ES"/>
        </w:rPr>
        <w:t xml:space="preserve">(2), 115–144. </w:t>
      </w:r>
      <w:hyperlink r:id="rId61" w:history="1">
        <w:r w:rsidRPr="00395962">
          <w:rPr>
            <w:rFonts w:eastAsia="Arial Unicode MS"/>
            <w:u w:val="single"/>
            <w:bdr w:val="nil"/>
            <w:lang w:eastAsia="es-ES"/>
          </w:rPr>
          <w:t>https://doi.org/10.24310/isl.2.18.2023.16511</w:t>
        </w:r>
      </w:hyperlink>
      <w:r w:rsidRPr="00395962">
        <w:rPr>
          <w:rFonts w:eastAsia="Arial Unicode MS"/>
          <w:bdr w:val="nil"/>
          <w:lang w:eastAsia="es-ES"/>
        </w:rPr>
        <w:t xml:space="preserve"> </w:t>
      </w:r>
    </w:p>
    <w:p w14:paraId="53EF4D2B"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r w:rsidRPr="00395962">
        <w:rPr>
          <w:rFonts w:eastAsia="Arial Unicode MS"/>
          <w:color w:val="000000"/>
          <w:bdr w:val="nil"/>
          <w:lang w:eastAsia="es-ES"/>
        </w:rPr>
        <w:t xml:space="preserve">Rodríguez-Mantilla, J. M., Fernández-Díaz, M. J. y Jover, G. (2018). PISA 2015: Predictores del rendimiento en Ciencias en España. </w:t>
      </w:r>
      <w:r w:rsidRPr="00395962">
        <w:rPr>
          <w:rFonts w:eastAsia="Arial Unicode MS"/>
          <w:i/>
          <w:iCs/>
          <w:color w:val="000000"/>
          <w:bdr w:val="nil"/>
          <w:lang w:eastAsia="es-ES"/>
        </w:rPr>
        <w:t>Revista de Educación</w:t>
      </w:r>
      <w:r w:rsidRPr="00395962">
        <w:rPr>
          <w:rFonts w:eastAsia="Arial Unicode MS"/>
          <w:color w:val="000000"/>
          <w:bdr w:val="nil"/>
          <w:lang w:eastAsia="es-ES"/>
        </w:rPr>
        <w:t xml:space="preserve">, (380), 75–102. </w:t>
      </w:r>
      <w:hyperlink r:id="rId62" w:history="1">
        <w:r w:rsidRPr="00395962">
          <w:rPr>
            <w:rFonts w:eastAsia="Arial Unicode MS"/>
            <w:bdr w:val="nil"/>
            <w:lang w:eastAsia="es-ES"/>
          </w:rPr>
          <w:t>https://doi.org/10.4438/1988-592X-RE-2017-380-373</w:t>
        </w:r>
      </w:hyperlink>
      <w:r w:rsidRPr="00395962">
        <w:rPr>
          <w:rFonts w:eastAsia="Arial Unicode MS"/>
          <w:color w:val="000000"/>
          <w:bdr w:val="nil"/>
          <w:lang w:eastAsia="es-ES"/>
        </w:rPr>
        <w:t xml:space="preserve"> </w:t>
      </w:r>
    </w:p>
    <w:p w14:paraId="1E705EFD"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r w:rsidRPr="00395962">
        <w:rPr>
          <w:rFonts w:eastAsia="Arial Unicode MS"/>
          <w:color w:val="000000"/>
          <w:bdr w:val="nil"/>
          <w:shd w:val="clear" w:color="auto" w:fill="FFFFFF"/>
          <w:lang w:val="en-US" w:eastAsia="es-ES"/>
        </w:rPr>
        <w:t xml:space="preserve">Saracho, O. (2017). </w:t>
      </w:r>
      <w:proofErr w:type="spellStart"/>
      <w:r w:rsidRPr="00395962">
        <w:rPr>
          <w:rFonts w:eastAsia="Arial Unicode MS"/>
          <w:color w:val="000000"/>
          <w:bdr w:val="nil"/>
          <w:lang w:eastAsia="es-ES"/>
        </w:rPr>
        <w:t>Parents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shared</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storybook</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reading</w:t>
      </w:r>
      <w:proofErr w:type="spellEnd"/>
      <w:r w:rsidRPr="00395962">
        <w:rPr>
          <w:rFonts w:eastAsia="Arial Unicode MS"/>
          <w:color w:val="000000"/>
          <w:bdr w:val="nil"/>
          <w:lang w:eastAsia="es-ES"/>
        </w:rPr>
        <w:t xml:space="preserve"> - </w:t>
      </w:r>
      <w:proofErr w:type="spellStart"/>
      <w:r w:rsidRPr="00395962">
        <w:rPr>
          <w:rFonts w:eastAsia="Arial Unicode MS"/>
          <w:color w:val="000000"/>
          <w:bdr w:val="nil"/>
          <w:lang w:eastAsia="es-ES"/>
        </w:rPr>
        <w:t>learning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to</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read</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 w:eastAsia="es-ES"/>
        </w:rPr>
        <w:t>Early Child Development and Care, 187</w:t>
      </w:r>
      <w:r w:rsidRPr="00395962">
        <w:rPr>
          <w:rFonts w:eastAsia="Arial Unicode MS"/>
          <w:color w:val="000000"/>
          <w:bdr w:val="nil"/>
          <w:lang w:val="en" w:eastAsia="es-ES"/>
        </w:rPr>
        <w:t xml:space="preserve">(3), 554–567. </w:t>
      </w:r>
      <w:hyperlink r:id="rId63" w:history="1">
        <w:r w:rsidRPr="00395962">
          <w:rPr>
            <w:rFonts w:eastAsia="Arial Unicode MS"/>
            <w:color w:val="000000"/>
            <w:bdr w:val="nil"/>
            <w:lang w:eastAsia="es-ES"/>
          </w:rPr>
          <w:t>https://doi.org/</w:t>
        </w:r>
        <w:r w:rsidRPr="00395962">
          <w:rPr>
            <w:rFonts w:eastAsia="Arial Unicode MS"/>
            <w:color w:val="000000"/>
            <w:bdr w:val="nil"/>
            <w:shd w:val="clear" w:color="auto" w:fill="FFFFFF"/>
            <w:lang w:eastAsia="es-ES"/>
          </w:rPr>
          <w:t>10.1080/03004430.2016.1261514</w:t>
        </w:r>
      </w:hyperlink>
      <w:r w:rsidRPr="00395962">
        <w:rPr>
          <w:rFonts w:eastAsia="Arial Unicode MS"/>
          <w:color w:val="000000"/>
          <w:bdr w:val="nil"/>
          <w:lang w:eastAsia="es-ES"/>
        </w:rPr>
        <w:t xml:space="preserve">    </w:t>
      </w:r>
    </w:p>
    <w:p w14:paraId="57F8C6C2"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val="en-US" w:eastAsia="es-ES"/>
        </w:rPr>
      </w:pPr>
      <w:proofErr w:type="spellStart"/>
      <w:r w:rsidRPr="00395962">
        <w:rPr>
          <w:rFonts w:eastAsia="Arial Unicode MS"/>
          <w:color w:val="000000"/>
          <w:bdr w:val="nil"/>
          <w:lang w:eastAsia="es-ES"/>
        </w:rPr>
        <w:t>Stiff</w:t>
      </w:r>
      <w:proofErr w:type="spellEnd"/>
      <w:r w:rsidRPr="00395962">
        <w:rPr>
          <w:rFonts w:eastAsia="Arial Unicode MS"/>
          <w:color w:val="000000"/>
          <w:bdr w:val="nil"/>
          <w:lang w:eastAsia="es-ES"/>
        </w:rPr>
        <w:t xml:space="preserve">, J., </w:t>
      </w:r>
      <w:proofErr w:type="spellStart"/>
      <w:r w:rsidRPr="00395962">
        <w:rPr>
          <w:rFonts w:eastAsia="Arial Unicode MS"/>
          <w:color w:val="000000"/>
          <w:bdr w:val="nil"/>
          <w:lang w:eastAsia="es-ES"/>
        </w:rPr>
        <w:t>Lenkeit</w:t>
      </w:r>
      <w:proofErr w:type="spellEnd"/>
      <w:r w:rsidRPr="00395962">
        <w:rPr>
          <w:rFonts w:eastAsia="Arial Unicode MS"/>
          <w:color w:val="000000"/>
          <w:bdr w:val="nil"/>
          <w:lang w:eastAsia="es-ES"/>
        </w:rPr>
        <w:t xml:space="preserve">, J., </w:t>
      </w:r>
      <w:proofErr w:type="spellStart"/>
      <w:r w:rsidRPr="00395962">
        <w:rPr>
          <w:rFonts w:eastAsia="Arial Unicode MS"/>
          <w:color w:val="000000"/>
          <w:bdr w:val="nil"/>
          <w:lang w:eastAsia="es-ES"/>
        </w:rPr>
        <w:t>Hopfenbeck</w:t>
      </w:r>
      <w:proofErr w:type="spellEnd"/>
      <w:r w:rsidRPr="00395962">
        <w:rPr>
          <w:rFonts w:eastAsia="Arial Unicode MS"/>
          <w:color w:val="000000"/>
          <w:bdr w:val="nil"/>
          <w:lang w:eastAsia="es-ES"/>
        </w:rPr>
        <w:t xml:space="preserve">, T. N., </w:t>
      </w:r>
      <w:proofErr w:type="spellStart"/>
      <w:r w:rsidRPr="00395962">
        <w:rPr>
          <w:rFonts w:eastAsia="Arial Unicode MS"/>
          <w:color w:val="000000"/>
          <w:bdr w:val="nil"/>
          <w:lang w:eastAsia="es-ES"/>
        </w:rPr>
        <w:t>Kayton</w:t>
      </w:r>
      <w:proofErr w:type="spellEnd"/>
      <w:r w:rsidRPr="00395962">
        <w:rPr>
          <w:rFonts w:eastAsia="Arial Unicode MS"/>
          <w:color w:val="000000"/>
          <w:bdr w:val="nil"/>
          <w:lang w:eastAsia="es-ES"/>
        </w:rPr>
        <w:t xml:space="preserve">, H. L. y </w:t>
      </w:r>
      <w:proofErr w:type="spellStart"/>
      <w:r w:rsidRPr="00395962">
        <w:rPr>
          <w:rFonts w:eastAsia="Arial Unicode MS"/>
          <w:color w:val="000000"/>
          <w:bdr w:val="nil"/>
          <w:lang w:eastAsia="es-ES"/>
        </w:rPr>
        <w:t>McGrane</w:t>
      </w:r>
      <w:proofErr w:type="spellEnd"/>
      <w:r w:rsidRPr="00395962">
        <w:rPr>
          <w:rFonts w:eastAsia="Arial Unicode MS"/>
          <w:color w:val="000000"/>
          <w:bdr w:val="nil"/>
          <w:lang w:eastAsia="es-ES"/>
        </w:rPr>
        <w:t xml:space="preserve">, J. A. (2023). </w:t>
      </w:r>
      <w:proofErr w:type="spellStart"/>
      <w:r w:rsidRPr="00395962">
        <w:rPr>
          <w:rFonts w:eastAsia="Arial Unicode MS"/>
          <w:color w:val="000000"/>
          <w:bdr w:val="nil"/>
          <w:lang w:eastAsia="es-ES"/>
        </w:rPr>
        <w:t>Research</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engagement</w:t>
      </w:r>
      <w:proofErr w:type="spellEnd"/>
      <w:r w:rsidRPr="00395962">
        <w:rPr>
          <w:rFonts w:eastAsia="Arial Unicode MS"/>
          <w:color w:val="000000"/>
          <w:bdr w:val="nil"/>
          <w:lang w:eastAsia="es-ES"/>
        </w:rPr>
        <w:t xml:space="preserve"> in </w:t>
      </w:r>
      <w:proofErr w:type="spellStart"/>
      <w:r w:rsidRPr="00395962">
        <w:rPr>
          <w:rFonts w:eastAsia="Arial Unicode MS"/>
          <w:color w:val="000000"/>
          <w:bdr w:val="nil"/>
          <w:lang w:eastAsia="es-ES"/>
        </w:rPr>
        <w:t>the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Progress</w:t>
      </w:r>
      <w:proofErr w:type="spellEnd"/>
      <w:r w:rsidRPr="00395962">
        <w:rPr>
          <w:rFonts w:eastAsia="Arial Unicode MS"/>
          <w:color w:val="000000"/>
          <w:bdr w:val="nil"/>
          <w:lang w:eastAsia="es-ES"/>
        </w:rPr>
        <w:t xml:space="preserve"> in International Reading </w:t>
      </w:r>
      <w:proofErr w:type="spellStart"/>
      <w:r w:rsidRPr="00395962">
        <w:rPr>
          <w:rFonts w:eastAsia="Arial Unicode MS"/>
          <w:color w:val="000000"/>
          <w:bdr w:val="nil"/>
          <w:lang w:eastAsia="es-ES"/>
        </w:rPr>
        <w:t>Literacy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Study</w:t>
      </w:r>
      <w:proofErr w:type="spellEnd"/>
      <w:r w:rsidRPr="00395962">
        <w:rPr>
          <w:rFonts w:eastAsia="Arial Unicode MS"/>
          <w:color w:val="000000"/>
          <w:bdr w:val="nil"/>
          <w:lang w:eastAsia="es-ES"/>
        </w:rPr>
        <w:t xml:space="preserve">: A </w:t>
      </w:r>
      <w:proofErr w:type="spellStart"/>
      <w:r w:rsidRPr="00395962">
        <w:rPr>
          <w:rFonts w:eastAsia="Arial Unicode MS"/>
          <w:color w:val="000000"/>
          <w:bdr w:val="nil"/>
          <w:lang w:eastAsia="es-ES"/>
        </w:rPr>
        <w:t>systematic</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review</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US" w:eastAsia="es-ES"/>
        </w:rPr>
        <w:t>Educational Research Review, 40</w:t>
      </w:r>
      <w:r w:rsidRPr="00395962">
        <w:rPr>
          <w:rFonts w:eastAsia="Arial Unicode MS"/>
          <w:color w:val="000000"/>
          <w:bdr w:val="nil"/>
          <w:lang w:val="en-US" w:eastAsia="es-ES"/>
        </w:rPr>
        <w:t xml:space="preserve">(100547), 1–14.  </w:t>
      </w:r>
      <w:hyperlink r:id="rId64" w:history="1">
        <w:r w:rsidRPr="00395962">
          <w:rPr>
            <w:rFonts w:eastAsia="Arial Unicode MS"/>
            <w:color w:val="000000"/>
            <w:bdr w:val="nil"/>
            <w:lang w:val="en-US" w:eastAsia="es-ES"/>
          </w:rPr>
          <w:t>https://doi.org/10.1016/j.edurev.2023.100547</w:t>
        </w:r>
      </w:hyperlink>
    </w:p>
    <w:p w14:paraId="7DEDD8D0"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r w:rsidRPr="00395962">
        <w:rPr>
          <w:rFonts w:eastAsia="Arial Unicode MS"/>
          <w:color w:val="000000"/>
          <w:bdr w:val="nil"/>
          <w:lang w:val="en-US" w:eastAsia="es-ES"/>
        </w:rPr>
        <w:t xml:space="preserve">Thompson, P.N. (2021). Is four less than five? Effects of four-day school weeks on student achievement in Oregon. </w:t>
      </w:r>
      <w:r w:rsidRPr="00395962">
        <w:rPr>
          <w:rFonts w:eastAsia="Arial Unicode MS"/>
          <w:i/>
          <w:iCs/>
          <w:color w:val="000000"/>
          <w:bdr w:val="nil"/>
          <w:lang w:val="en-US" w:eastAsia="es-ES"/>
        </w:rPr>
        <w:t>Journal of Public Economics, 193</w:t>
      </w:r>
      <w:r w:rsidRPr="00395962">
        <w:rPr>
          <w:rFonts w:eastAsia="Arial Unicode MS"/>
          <w:color w:val="000000"/>
          <w:bdr w:val="nil"/>
          <w:lang w:val="en-US" w:eastAsia="es-ES"/>
        </w:rPr>
        <w:t xml:space="preserve">(104308), 1–20. </w:t>
      </w:r>
      <w:hyperlink r:id="rId65" w:history="1">
        <w:r w:rsidRPr="00395962">
          <w:rPr>
            <w:rFonts w:eastAsia="Arial Unicode MS"/>
            <w:color w:val="000000"/>
            <w:bdr w:val="nil"/>
            <w:lang w:val="en-US" w:eastAsia="es-ES"/>
          </w:rPr>
          <w:t>https://doi.org/10.1016/j.jpubeco.2020.104308</w:t>
        </w:r>
      </w:hyperlink>
      <w:r w:rsidRPr="00395962">
        <w:rPr>
          <w:rFonts w:eastAsia="Arial Unicode MS"/>
          <w:color w:val="000000"/>
          <w:bdr w:val="nil"/>
          <w:lang w:val="en-US" w:eastAsia="es-ES"/>
        </w:rPr>
        <w:t xml:space="preserve"> </w:t>
      </w:r>
    </w:p>
    <w:p w14:paraId="28A3A9B0"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r w:rsidRPr="00395962">
        <w:rPr>
          <w:rFonts w:eastAsia="Arial Unicode MS"/>
          <w:color w:val="000000"/>
          <w:bdr w:val="nil"/>
          <w:lang w:val="en-US" w:eastAsia="es-ES"/>
        </w:rPr>
        <w:t xml:space="preserve">Toste, J. R., Didion, L., Peng, P., </w:t>
      </w:r>
      <w:proofErr w:type="spellStart"/>
      <w:r w:rsidRPr="00395962">
        <w:rPr>
          <w:rFonts w:eastAsia="Arial Unicode MS"/>
          <w:color w:val="000000"/>
          <w:bdr w:val="nil"/>
          <w:lang w:val="en-US" w:eastAsia="es-ES"/>
        </w:rPr>
        <w:t>Filderman</w:t>
      </w:r>
      <w:proofErr w:type="spellEnd"/>
      <w:r w:rsidRPr="00395962">
        <w:rPr>
          <w:rFonts w:eastAsia="Arial Unicode MS"/>
          <w:color w:val="000000"/>
          <w:bdr w:val="nil"/>
          <w:lang w:val="en-US" w:eastAsia="es-ES"/>
        </w:rPr>
        <w:t xml:space="preserve">, M. J. y McClelland, A. M. (2020). </w:t>
      </w:r>
      <w:r w:rsidRPr="00395962">
        <w:rPr>
          <w:rFonts w:eastAsia="Arial Unicode MS"/>
          <w:color w:val="000000"/>
          <w:bdr w:val="nil"/>
          <w:lang w:eastAsia="es-ES"/>
        </w:rPr>
        <w:t>A meta-</w:t>
      </w:r>
      <w:proofErr w:type="spellStart"/>
      <w:r w:rsidRPr="00395962">
        <w:rPr>
          <w:rFonts w:eastAsia="Arial Unicode MS"/>
          <w:color w:val="000000"/>
          <w:bdr w:val="nil"/>
          <w:lang w:eastAsia="es-ES"/>
        </w:rPr>
        <w:t>analytic</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review</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of</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the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relations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between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motivation</w:t>
      </w:r>
      <w:proofErr w:type="spellEnd"/>
      <w:r w:rsidRPr="00395962">
        <w:rPr>
          <w:rFonts w:eastAsia="Arial Unicode MS"/>
          <w:color w:val="000000"/>
          <w:bdr w:val="nil"/>
          <w:lang w:eastAsia="es-ES"/>
        </w:rPr>
        <w:t xml:space="preserve"> and </w:t>
      </w:r>
      <w:proofErr w:type="spellStart"/>
      <w:r w:rsidRPr="00395962">
        <w:rPr>
          <w:rFonts w:eastAsia="Arial Unicode MS"/>
          <w:color w:val="000000"/>
          <w:bdr w:val="nil"/>
          <w:lang w:eastAsia="es-ES"/>
        </w:rPr>
        <w:t>reading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for</w:t>
      </w:r>
      <w:proofErr w:type="spellEnd"/>
      <w:r w:rsidRPr="00395962">
        <w:rPr>
          <w:rFonts w:eastAsia="Arial Unicode MS"/>
          <w:color w:val="000000"/>
          <w:bdr w:val="nil"/>
          <w:lang w:eastAsia="es-ES"/>
        </w:rPr>
        <w:t xml:space="preserve"> K–12 </w:t>
      </w:r>
      <w:proofErr w:type="spellStart"/>
      <w:r w:rsidRPr="00395962">
        <w:rPr>
          <w:rFonts w:eastAsia="Arial Unicode MS"/>
          <w:color w:val="000000"/>
          <w:bdr w:val="nil"/>
          <w:lang w:eastAsia="es-ES"/>
        </w:rPr>
        <w:t>students</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US" w:eastAsia="es-ES"/>
        </w:rPr>
        <w:t>Review of Educational Research, 90</w:t>
      </w:r>
      <w:r w:rsidRPr="00395962">
        <w:rPr>
          <w:rFonts w:eastAsia="Arial Unicode MS"/>
          <w:color w:val="000000"/>
          <w:bdr w:val="nil"/>
          <w:lang w:val="en-US" w:eastAsia="es-ES"/>
        </w:rPr>
        <w:t xml:space="preserve">(3), 420–456. </w:t>
      </w:r>
      <w:hyperlink r:id="rId66" w:history="1">
        <w:r w:rsidRPr="00395962">
          <w:rPr>
            <w:rFonts w:eastAsia="Arial Unicode MS"/>
            <w:color w:val="000000"/>
            <w:bdr w:val="nil"/>
            <w:lang w:val="en-US" w:eastAsia="es-ES"/>
          </w:rPr>
          <w:t>https://doi.org/10.3102/0034654320919352</w:t>
        </w:r>
      </w:hyperlink>
    </w:p>
    <w:p w14:paraId="29B17DCF"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eastAsia="es-ES"/>
        </w:rPr>
      </w:pPr>
      <w:proofErr w:type="spellStart"/>
      <w:r w:rsidRPr="00395962">
        <w:rPr>
          <w:rFonts w:eastAsia="Arial Unicode MS"/>
          <w:color w:val="000000"/>
          <w:bdr w:val="nil"/>
          <w:lang w:val="en-US" w:eastAsia="es-ES"/>
        </w:rPr>
        <w:t>Tourón</w:t>
      </w:r>
      <w:proofErr w:type="spellEnd"/>
      <w:r w:rsidRPr="00395962">
        <w:rPr>
          <w:rFonts w:eastAsia="Arial Unicode MS"/>
          <w:color w:val="000000"/>
          <w:bdr w:val="nil"/>
          <w:lang w:val="en-US" w:eastAsia="es-ES"/>
        </w:rPr>
        <w:t xml:space="preserve">, J., López-González, E., </w:t>
      </w:r>
      <w:proofErr w:type="spellStart"/>
      <w:r w:rsidRPr="00395962">
        <w:rPr>
          <w:rFonts w:eastAsia="Arial Unicode MS"/>
          <w:color w:val="000000"/>
          <w:bdr w:val="nil"/>
          <w:lang w:val="en-US" w:eastAsia="es-ES"/>
        </w:rPr>
        <w:t>Lizasoain</w:t>
      </w:r>
      <w:proofErr w:type="spellEnd"/>
      <w:r w:rsidRPr="00395962">
        <w:rPr>
          <w:rFonts w:eastAsia="Arial Unicode MS"/>
          <w:color w:val="000000"/>
          <w:bdr w:val="nil"/>
          <w:lang w:val="en-US" w:eastAsia="es-ES"/>
        </w:rPr>
        <w:t xml:space="preserve">, L. y Navarro, E. (2023). </w:t>
      </w:r>
      <w:r w:rsidRPr="00395962">
        <w:rPr>
          <w:rFonts w:eastAsia="Arial Unicode MS"/>
          <w:i/>
          <w:iCs/>
          <w:color w:val="000000"/>
          <w:bdr w:val="nil"/>
          <w:lang w:eastAsia="es-ES"/>
        </w:rPr>
        <w:t>Análisis de datos y medida en educación</w:t>
      </w:r>
      <w:r w:rsidRPr="00395962">
        <w:rPr>
          <w:rFonts w:eastAsia="Arial Unicode MS"/>
          <w:color w:val="000000"/>
          <w:bdr w:val="nil"/>
          <w:lang w:eastAsia="es-ES"/>
        </w:rPr>
        <w:t xml:space="preserve">. (Vol. II). UNIR Editorial.  </w:t>
      </w:r>
    </w:p>
    <w:p w14:paraId="193442DF"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bdr w:val="nil"/>
          <w:lang w:eastAsia="es-ES"/>
        </w:rPr>
      </w:pPr>
      <w:r w:rsidRPr="00395962">
        <w:rPr>
          <w:rFonts w:eastAsia="Arial Unicode MS"/>
          <w:color w:val="000000"/>
          <w:bdr w:val="nil"/>
          <w:lang w:eastAsia="es-ES"/>
        </w:rPr>
        <w:t xml:space="preserve">Viramontes Anaya, E., Amparán Muro, A., Núñez Sifuentes, L. D. y Flores Sáenz, S.G. (2019). Comprensión lectora y el rendimiento académico en Educación Primaria. </w:t>
      </w:r>
      <w:r w:rsidRPr="00395962">
        <w:rPr>
          <w:rFonts w:eastAsia="Arial Unicode MS"/>
          <w:i/>
          <w:iCs/>
          <w:color w:val="000000"/>
          <w:bdr w:val="nil"/>
          <w:lang w:eastAsia="es-ES"/>
        </w:rPr>
        <w:t>Investigaciones Sobre Lectura, 12</w:t>
      </w:r>
      <w:r w:rsidRPr="00395962">
        <w:rPr>
          <w:rFonts w:eastAsia="Arial Unicode MS"/>
          <w:color w:val="000000"/>
          <w:bdr w:val="nil"/>
          <w:lang w:eastAsia="es-ES"/>
        </w:rPr>
        <w:t xml:space="preserve">, 65–82. </w:t>
      </w:r>
      <w:hyperlink r:id="rId67" w:history="1">
        <w:r w:rsidRPr="00395962">
          <w:rPr>
            <w:rFonts w:eastAsia="Arial Unicode MS"/>
            <w:u w:val="single"/>
            <w:bdr w:val="nil"/>
            <w:lang w:eastAsia="es-ES"/>
          </w:rPr>
          <w:t>https://doi.org/10.24310/revistaisl.vi12.11109</w:t>
        </w:r>
      </w:hyperlink>
    </w:p>
    <w:p w14:paraId="04F6223B" w14:textId="77777777" w:rsidR="00C00B69" w:rsidRPr="00395962" w:rsidRDefault="00C00B69" w:rsidP="00C00B69">
      <w:pPr>
        <w:spacing w:before="0" w:line="240" w:lineRule="auto"/>
        <w:ind w:left="851" w:hanging="851"/>
        <w:jc w:val="left"/>
        <w:rPr>
          <w:rFonts w:eastAsia="Arial Unicode MS"/>
        </w:rPr>
      </w:pPr>
      <w:proofErr w:type="spellStart"/>
      <w:r w:rsidRPr="00395962">
        <w:rPr>
          <w:rFonts w:eastAsia="Arial Unicode MS"/>
          <w:bdr w:val="nil"/>
          <w:lang w:eastAsia="es-ES"/>
        </w:rPr>
        <w:t>Von</w:t>
      </w:r>
      <w:proofErr w:type="spellEnd"/>
      <w:r w:rsidRPr="00395962">
        <w:rPr>
          <w:rFonts w:eastAsia="Arial Unicode MS"/>
          <w:bdr w:val="nil"/>
          <w:lang w:eastAsia="es-ES"/>
        </w:rPr>
        <w:t xml:space="preserve"> </w:t>
      </w:r>
      <w:proofErr w:type="spellStart"/>
      <w:r w:rsidRPr="00395962">
        <w:rPr>
          <w:rFonts w:eastAsia="Arial Unicode MS"/>
          <w:bdr w:val="nil"/>
          <w:lang w:eastAsia="es-ES"/>
        </w:rPr>
        <w:t>Davier</w:t>
      </w:r>
      <w:proofErr w:type="spellEnd"/>
      <w:r w:rsidRPr="00395962">
        <w:rPr>
          <w:rFonts w:eastAsia="Arial Unicode MS"/>
          <w:bdr w:val="nil"/>
          <w:lang w:eastAsia="es-ES"/>
        </w:rPr>
        <w:t xml:space="preserve">, M., Mullis, I. V. S., </w:t>
      </w:r>
      <w:proofErr w:type="spellStart"/>
      <w:r w:rsidRPr="00395962">
        <w:rPr>
          <w:rFonts w:eastAsia="Arial Unicode MS"/>
          <w:bdr w:val="nil"/>
          <w:lang w:eastAsia="es-ES"/>
        </w:rPr>
        <w:t>Fishbein</w:t>
      </w:r>
      <w:proofErr w:type="spellEnd"/>
      <w:r w:rsidRPr="00395962">
        <w:rPr>
          <w:rFonts w:eastAsia="Arial Unicode MS"/>
          <w:bdr w:val="nil"/>
          <w:lang w:eastAsia="es-ES"/>
        </w:rPr>
        <w:t xml:space="preserve">, B. y Foy, P. (Eds.). (2023). </w:t>
      </w:r>
      <w:proofErr w:type="spellStart"/>
      <w:r w:rsidRPr="00395962">
        <w:rPr>
          <w:rFonts w:eastAsia="Arial Unicode MS"/>
          <w:i/>
          <w:iCs/>
          <w:bdr w:val="nil"/>
          <w:lang w:eastAsia="es-ES"/>
        </w:rPr>
        <w:t>Methods</w:t>
      </w:r>
      <w:proofErr w:type="spellEnd"/>
      <w:r w:rsidRPr="00395962">
        <w:rPr>
          <w:rFonts w:eastAsia="Arial Unicode MS"/>
          <w:i/>
          <w:iCs/>
          <w:bdr w:val="nil"/>
          <w:lang w:eastAsia="es-ES"/>
        </w:rPr>
        <w:t xml:space="preserve"> and </w:t>
      </w:r>
      <w:proofErr w:type="spellStart"/>
      <w:r w:rsidRPr="00395962">
        <w:rPr>
          <w:rFonts w:eastAsia="Arial Unicode MS"/>
          <w:i/>
          <w:iCs/>
          <w:bdr w:val="nil"/>
          <w:lang w:eastAsia="es-ES"/>
        </w:rPr>
        <w:t>Procedures</w:t>
      </w:r>
      <w:proofErr w:type="spellEnd"/>
      <w:r w:rsidRPr="00395962">
        <w:rPr>
          <w:rFonts w:eastAsia="Arial Unicode MS"/>
          <w:i/>
          <w:iCs/>
          <w:bdr w:val="nil"/>
          <w:lang w:eastAsia="es-ES"/>
        </w:rPr>
        <w:t xml:space="preserve">: PIRLS 2021 </w:t>
      </w:r>
      <w:proofErr w:type="spellStart"/>
      <w:r w:rsidRPr="00395962">
        <w:rPr>
          <w:rFonts w:eastAsia="Arial Unicode MS"/>
          <w:i/>
          <w:iCs/>
          <w:bdr w:val="nil"/>
          <w:lang w:eastAsia="es-ES"/>
        </w:rPr>
        <w:t>Technical</w:t>
      </w:r>
      <w:proofErr w:type="spellEnd"/>
      <w:r w:rsidRPr="00395962">
        <w:rPr>
          <w:rFonts w:eastAsia="Arial Unicode MS"/>
          <w:i/>
          <w:iCs/>
          <w:bdr w:val="nil"/>
          <w:lang w:eastAsia="es-ES"/>
        </w:rPr>
        <w:t xml:space="preserve"> </w:t>
      </w:r>
      <w:proofErr w:type="spellStart"/>
      <w:r w:rsidRPr="00395962">
        <w:rPr>
          <w:rFonts w:eastAsia="Arial Unicode MS"/>
          <w:i/>
          <w:iCs/>
          <w:bdr w:val="nil"/>
          <w:lang w:eastAsia="es-ES"/>
        </w:rPr>
        <w:t>Report</w:t>
      </w:r>
      <w:proofErr w:type="spellEnd"/>
      <w:r w:rsidRPr="00395962">
        <w:rPr>
          <w:rFonts w:eastAsia="Arial Unicode MS"/>
          <w:bdr w:val="nil"/>
          <w:lang w:eastAsia="es-ES"/>
        </w:rPr>
        <w:t xml:space="preserve">. Boston </w:t>
      </w:r>
      <w:proofErr w:type="spellStart"/>
      <w:r w:rsidRPr="00395962">
        <w:rPr>
          <w:rFonts w:eastAsia="Arial Unicode MS"/>
          <w:bdr w:val="nil"/>
          <w:lang w:eastAsia="es-ES"/>
        </w:rPr>
        <w:t>College</w:t>
      </w:r>
      <w:proofErr w:type="spellEnd"/>
      <w:r w:rsidRPr="00395962">
        <w:rPr>
          <w:rFonts w:eastAsia="Arial Unicode MS"/>
          <w:bdr w:val="nil"/>
          <w:lang w:eastAsia="es-ES"/>
        </w:rPr>
        <w:t xml:space="preserve">, TIMSS &amp; PIRLS International </w:t>
      </w:r>
      <w:proofErr w:type="spellStart"/>
      <w:r w:rsidRPr="00395962">
        <w:rPr>
          <w:rFonts w:eastAsia="Arial Unicode MS"/>
          <w:bdr w:val="nil"/>
          <w:lang w:eastAsia="es-ES"/>
        </w:rPr>
        <w:t>Study</w:t>
      </w:r>
      <w:proofErr w:type="spellEnd"/>
      <w:r w:rsidRPr="00395962">
        <w:rPr>
          <w:rFonts w:eastAsia="Arial Unicode MS"/>
          <w:bdr w:val="nil"/>
          <w:lang w:eastAsia="es-ES"/>
        </w:rPr>
        <w:t xml:space="preserve"> Center. </w:t>
      </w:r>
      <w:hyperlink r:id="rId68" w:history="1">
        <w:r w:rsidRPr="00395962">
          <w:rPr>
            <w:rFonts w:eastAsia="Arial Unicode MS"/>
            <w:u w:val="single"/>
            <w:bdr w:val="nil"/>
            <w:lang w:eastAsia="es-ES"/>
          </w:rPr>
          <w:t>https://pirls2021.org/methods</w:t>
        </w:r>
      </w:hyperlink>
      <w:r w:rsidRPr="00395962">
        <w:rPr>
          <w:rFonts w:eastAsia="Arial Unicode MS"/>
          <w:bdr w:val="nil"/>
          <w:lang w:eastAsia="es-ES"/>
        </w:rPr>
        <w:t xml:space="preserve"> </w:t>
      </w:r>
    </w:p>
    <w:p w14:paraId="718BF444"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lang w:val="en" w:eastAsia="es-ES"/>
        </w:rPr>
      </w:pPr>
      <w:r w:rsidRPr="00395962">
        <w:rPr>
          <w:rFonts w:eastAsia="Arial Unicode MS"/>
          <w:color w:val="000000"/>
          <w:bdr w:val="nil"/>
          <w:lang w:val="en-US" w:eastAsia="es-ES"/>
        </w:rPr>
        <w:t xml:space="preserve">Workman, J. (2022). </w:t>
      </w:r>
      <w:proofErr w:type="spellStart"/>
      <w:r w:rsidRPr="00395962">
        <w:rPr>
          <w:rFonts w:eastAsia="Arial Unicode MS"/>
          <w:color w:val="000000"/>
          <w:bdr w:val="nil"/>
          <w:lang w:eastAsia="es-ES"/>
        </w:rPr>
        <w:t>Inequality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begets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inequality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Income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inequality</w:t>
      </w:r>
      <w:proofErr w:type="spellEnd"/>
      <w:r w:rsidRPr="00395962">
        <w:rPr>
          <w:rFonts w:eastAsia="Arial Unicode MS"/>
          <w:color w:val="000000"/>
          <w:bdr w:val="nil"/>
          <w:lang w:eastAsia="es-ES"/>
        </w:rPr>
        <w:t xml:space="preserve"> and </w:t>
      </w:r>
      <w:proofErr w:type="spellStart"/>
      <w:r w:rsidRPr="00395962">
        <w:rPr>
          <w:rFonts w:eastAsia="Arial Unicode MS"/>
          <w:color w:val="000000"/>
          <w:bdr w:val="nil"/>
          <w:lang w:eastAsia="es-ES"/>
        </w:rPr>
        <w:t>socioeconomic</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gradients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across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the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United</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States</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 w:eastAsia="es-ES"/>
        </w:rPr>
        <w:t>Social Science Research, 107</w:t>
      </w:r>
      <w:r w:rsidRPr="00395962">
        <w:rPr>
          <w:rFonts w:eastAsia="Arial Unicode MS"/>
          <w:color w:val="000000"/>
          <w:bdr w:val="nil"/>
          <w:lang w:val="en" w:eastAsia="es-ES"/>
        </w:rPr>
        <w:t xml:space="preserve">(102744), 1–14. </w:t>
      </w:r>
      <w:hyperlink r:id="rId69" w:history="1">
        <w:r w:rsidRPr="00395962">
          <w:rPr>
            <w:rFonts w:eastAsia="Arial Unicode MS"/>
            <w:color w:val="000000"/>
            <w:bdr w:val="nil"/>
            <w:lang w:val="en" w:eastAsia="es-ES"/>
          </w:rPr>
          <w:t>https://doi.org/10.1016/j.ssresearch.2022.102744</w:t>
        </w:r>
      </w:hyperlink>
    </w:p>
    <w:p w14:paraId="2126D5CF"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color w:val="000000"/>
          <w:bdr w:val="nil"/>
          <w:shd w:val="clear" w:color="auto" w:fill="FFFFFF"/>
          <w:lang w:val="en-US" w:eastAsia="es-ES"/>
        </w:rPr>
      </w:pPr>
      <w:r w:rsidRPr="00395962">
        <w:rPr>
          <w:rFonts w:eastAsia="Arial Unicode MS"/>
          <w:color w:val="000000"/>
          <w:bdr w:val="nil"/>
          <w:lang w:val="en-US" w:eastAsia="es-ES"/>
        </w:rPr>
        <w:t xml:space="preserve">Yarnell, L. M. y </w:t>
      </w:r>
      <w:proofErr w:type="spellStart"/>
      <w:r w:rsidRPr="00395962">
        <w:rPr>
          <w:rFonts w:eastAsia="Arial Unicode MS"/>
          <w:color w:val="000000"/>
          <w:bdr w:val="nil"/>
          <w:lang w:val="en-US" w:eastAsia="es-ES"/>
        </w:rPr>
        <w:t>Bohrnstedt</w:t>
      </w:r>
      <w:proofErr w:type="spellEnd"/>
      <w:r w:rsidRPr="00395962">
        <w:rPr>
          <w:rFonts w:eastAsia="Arial Unicode MS"/>
          <w:color w:val="000000"/>
          <w:bdr w:val="nil"/>
          <w:lang w:val="en-US" w:eastAsia="es-ES"/>
        </w:rPr>
        <w:t xml:space="preserve">, G. W. (2018). </w:t>
      </w:r>
      <w:proofErr w:type="spellStart"/>
      <w:r w:rsidRPr="00395962">
        <w:rPr>
          <w:rFonts w:eastAsia="Arial Unicode MS"/>
          <w:color w:val="000000"/>
          <w:bdr w:val="nil"/>
          <w:lang w:eastAsia="es-ES"/>
        </w:rPr>
        <w:t>Student-teacher</w:t>
      </w:r>
      <w:proofErr w:type="spellEnd"/>
      <w:r w:rsidRPr="00395962">
        <w:rPr>
          <w:rFonts w:eastAsia="Arial Unicode MS"/>
          <w:color w:val="000000"/>
          <w:bdr w:val="nil"/>
          <w:lang w:eastAsia="es-ES"/>
        </w:rPr>
        <w:t xml:space="preserve"> racial match and </w:t>
      </w:r>
      <w:proofErr w:type="spellStart"/>
      <w:r w:rsidRPr="00395962">
        <w:rPr>
          <w:rFonts w:eastAsia="Arial Unicode MS"/>
          <w:color w:val="000000"/>
          <w:bdr w:val="nil"/>
          <w:lang w:eastAsia="es-ES"/>
        </w:rPr>
        <w:t>its</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association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with</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black</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student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exploration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using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multilevel</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structural</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equation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modeling</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 w:eastAsia="es-ES"/>
        </w:rPr>
        <w:t>American Educational Research Journal, 55</w:t>
      </w:r>
      <w:r w:rsidRPr="00395962">
        <w:rPr>
          <w:rFonts w:eastAsia="Arial Unicode MS"/>
          <w:color w:val="000000"/>
          <w:bdr w:val="nil"/>
          <w:lang w:val="en" w:eastAsia="es-ES"/>
        </w:rPr>
        <w:t xml:space="preserve">(2), 287–324. </w:t>
      </w:r>
      <w:hyperlink r:id="rId70" w:history="1">
        <w:r w:rsidRPr="00395962">
          <w:rPr>
            <w:rFonts w:eastAsia="Arial Unicode MS"/>
            <w:color w:val="000000"/>
            <w:bdr w:val="nil"/>
            <w:lang w:val="en" w:eastAsia="es-ES"/>
          </w:rPr>
          <w:t>https://doi.org/</w:t>
        </w:r>
        <w:r w:rsidRPr="00395962">
          <w:rPr>
            <w:rFonts w:eastAsia="Arial Unicode MS"/>
            <w:color w:val="000000"/>
            <w:bdr w:val="nil"/>
            <w:shd w:val="clear" w:color="auto" w:fill="FFFFFF"/>
            <w:lang w:val="en-US" w:eastAsia="es-ES"/>
          </w:rPr>
          <w:t>10.3102/0002831217734804</w:t>
        </w:r>
      </w:hyperlink>
      <w:r w:rsidRPr="00395962">
        <w:rPr>
          <w:rFonts w:eastAsia="Arial Unicode MS"/>
          <w:color w:val="000000"/>
          <w:bdr w:val="nil"/>
          <w:shd w:val="clear" w:color="auto" w:fill="FFFFFF"/>
          <w:lang w:val="en-US" w:eastAsia="es-ES"/>
        </w:rPr>
        <w:t xml:space="preserve"> </w:t>
      </w:r>
    </w:p>
    <w:p w14:paraId="69E51879"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i/>
          <w:iCs/>
          <w:color w:val="000000"/>
          <w:bdr w:val="nil"/>
          <w:lang w:eastAsia="es-ES"/>
        </w:rPr>
      </w:pPr>
      <w:r w:rsidRPr="00395962">
        <w:rPr>
          <w:rFonts w:eastAsia="Arial Unicode MS"/>
          <w:color w:val="000000"/>
          <w:bdr w:val="nil"/>
          <w:lang w:val="en-US" w:eastAsia="es-ES"/>
        </w:rPr>
        <w:t xml:space="preserve">Yeung, S., King, R., </w:t>
      </w:r>
      <w:proofErr w:type="spellStart"/>
      <w:r w:rsidRPr="00395962">
        <w:rPr>
          <w:rFonts w:eastAsia="Arial Unicode MS"/>
          <w:color w:val="000000"/>
          <w:bdr w:val="nil"/>
          <w:lang w:val="en-US" w:eastAsia="es-ES"/>
        </w:rPr>
        <w:t>Nalipay</w:t>
      </w:r>
      <w:proofErr w:type="spellEnd"/>
      <w:r w:rsidRPr="00395962">
        <w:rPr>
          <w:rFonts w:eastAsia="Arial Unicode MS"/>
          <w:color w:val="000000"/>
          <w:bdr w:val="nil"/>
          <w:lang w:val="en-US" w:eastAsia="es-ES"/>
        </w:rPr>
        <w:t xml:space="preserve">, M. y Cai, Y. (2022). </w:t>
      </w:r>
      <w:proofErr w:type="spellStart"/>
      <w:r w:rsidRPr="00395962">
        <w:rPr>
          <w:rFonts w:eastAsia="Arial Unicode MS"/>
          <w:color w:val="000000"/>
          <w:bdr w:val="nil"/>
          <w:lang w:eastAsia="es-ES"/>
        </w:rPr>
        <w:t>Exploring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the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interplay</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between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socioeconomic</w:t>
      </w:r>
      <w:proofErr w:type="spellEnd"/>
      <w:r w:rsidRPr="00395962">
        <w:rPr>
          <w:rFonts w:eastAsia="Arial Unicode MS"/>
          <w:color w:val="000000"/>
          <w:bdr w:val="nil"/>
          <w:lang w:eastAsia="es-ES"/>
        </w:rPr>
        <w:t xml:space="preserve"> </w:t>
      </w:r>
      <w:proofErr w:type="gramStart"/>
      <w:r w:rsidRPr="00395962">
        <w:rPr>
          <w:rFonts w:eastAsia="Arial Unicode MS"/>
          <w:color w:val="000000"/>
          <w:bdr w:val="nil"/>
          <w:lang w:eastAsia="es-ES"/>
        </w:rPr>
        <w:t>status</w:t>
      </w:r>
      <w:proofErr w:type="gramEnd"/>
      <w:r w:rsidRPr="00395962">
        <w:rPr>
          <w:rFonts w:eastAsia="Arial Unicode MS"/>
          <w:color w:val="000000"/>
          <w:bdr w:val="nil"/>
          <w:lang w:eastAsia="es-ES"/>
        </w:rPr>
        <w:t xml:space="preserve"> and </w:t>
      </w:r>
      <w:proofErr w:type="spellStart"/>
      <w:r w:rsidRPr="00395962">
        <w:rPr>
          <w:rFonts w:eastAsia="Arial Unicode MS"/>
          <w:color w:val="000000"/>
          <w:bdr w:val="nil"/>
          <w:lang w:eastAsia="es-ES"/>
        </w:rPr>
        <w:t>reading</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achievement</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An</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expectancy-value</w:t>
      </w:r>
      <w:proofErr w:type="spellEnd"/>
      <w:r w:rsidRPr="00395962">
        <w:rPr>
          <w:rFonts w:eastAsia="Arial Unicode MS"/>
          <w:color w:val="000000"/>
          <w:bdr w:val="nil"/>
          <w:lang w:eastAsia="es-ES"/>
        </w:rPr>
        <w:t xml:space="preserve"> </w:t>
      </w:r>
      <w:proofErr w:type="spellStart"/>
      <w:r w:rsidRPr="00395962">
        <w:rPr>
          <w:rFonts w:eastAsia="Arial Unicode MS"/>
          <w:color w:val="000000"/>
          <w:bdr w:val="nil"/>
          <w:lang w:eastAsia="es-ES"/>
        </w:rPr>
        <w:t>perspective</w:t>
      </w:r>
      <w:proofErr w:type="spellEnd"/>
      <w:r w:rsidRPr="00395962">
        <w:rPr>
          <w:rFonts w:eastAsia="Arial Unicode MS"/>
          <w:color w:val="000000"/>
          <w:bdr w:val="nil"/>
          <w:lang w:eastAsia="es-ES"/>
        </w:rPr>
        <w:t xml:space="preserve">. </w:t>
      </w:r>
      <w:r w:rsidRPr="00395962">
        <w:rPr>
          <w:rFonts w:eastAsia="Arial Unicode MS"/>
          <w:i/>
          <w:iCs/>
          <w:color w:val="000000"/>
          <w:bdr w:val="nil"/>
          <w:lang w:val="en" w:eastAsia="es-ES"/>
        </w:rPr>
        <w:t>British Journal of Educational Psychology, 92</w:t>
      </w:r>
      <w:r w:rsidRPr="00395962">
        <w:rPr>
          <w:rFonts w:eastAsia="Arial Unicode MS"/>
          <w:color w:val="000000"/>
          <w:bdr w:val="nil"/>
          <w:lang w:val="en" w:eastAsia="es-ES"/>
        </w:rPr>
        <w:t xml:space="preserve">(3), 1196–1214. </w:t>
      </w:r>
      <w:hyperlink r:id="rId71" w:history="1">
        <w:r w:rsidRPr="00395962">
          <w:rPr>
            <w:rFonts w:eastAsia="Arial Unicode MS"/>
            <w:bdr w:val="nil"/>
            <w:lang w:val="en" w:eastAsia="es-ES"/>
          </w:rPr>
          <w:t>https://doi.org/10.1111/bjep.12495</w:t>
        </w:r>
      </w:hyperlink>
      <w:r w:rsidRPr="00395962">
        <w:rPr>
          <w:rFonts w:eastAsia="Arial Unicode MS"/>
          <w:color w:val="000000"/>
          <w:bdr w:val="nil"/>
          <w:lang w:val="en" w:eastAsia="es-ES"/>
        </w:rPr>
        <w:t xml:space="preserve"> </w:t>
      </w:r>
    </w:p>
    <w:p w14:paraId="14E8D597"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b/>
          <w:bCs/>
          <w:color w:val="000000"/>
          <w:bdr w:val="nil"/>
          <w:lang w:val="en" w:eastAsia="es-ES"/>
        </w:rPr>
      </w:pPr>
    </w:p>
    <w:p w14:paraId="4356D075" w14:textId="77777777" w:rsidR="00C00B69" w:rsidRPr="00395962" w:rsidRDefault="00C00B69" w:rsidP="00C00B69">
      <w:pPr>
        <w:spacing w:before="0" w:line="240" w:lineRule="auto"/>
        <w:ind w:left="709" w:hanging="709"/>
        <w:contextualSpacing/>
        <w:jc w:val="left"/>
        <w:rPr>
          <w:rFonts w:eastAsia="Calibri"/>
          <w:b/>
          <w:bCs/>
          <w:lang w:val="en-US" w:eastAsia="en-US"/>
        </w:rPr>
      </w:pPr>
    </w:p>
    <w:p w14:paraId="7487E0BB" w14:textId="77777777" w:rsidR="00C00B69" w:rsidRPr="00395962" w:rsidRDefault="00C00B69" w:rsidP="00C00B69">
      <w:pPr>
        <w:spacing w:before="0" w:line="240" w:lineRule="auto"/>
        <w:ind w:left="709" w:hanging="709"/>
        <w:contextualSpacing/>
        <w:jc w:val="left"/>
        <w:rPr>
          <w:rFonts w:eastAsia="Calibri"/>
          <w:b/>
          <w:bCs/>
          <w:lang w:val="en-US" w:eastAsia="en-US"/>
        </w:rPr>
      </w:pPr>
    </w:p>
    <w:p w14:paraId="1BC56A09" w14:textId="77777777" w:rsidR="00C00B69" w:rsidRPr="00395962" w:rsidRDefault="00C00B69" w:rsidP="00C00B69">
      <w:pPr>
        <w:pBdr>
          <w:top w:val="nil"/>
          <w:left w:val="nil"/>
          <w:bottom w:val="nil"/>
          <w:right w:val="nil"/>
          <w:between w:val="nil"/>
          <w:bar w:val="nil"/>
        </w:pBdr>
        <w:spacing w:line="240" w:lineRule="auto"/>
        <w:ind w:left="709" w:hanging="709"/>
        <w:contextualSpacing/>
        <w:rPr>
          <w:rFonts w:eastAsia="Arial Unicode MS"/>
          <w:bdr w:val="nil"/>
          <w:lang w:eastAsia="es-ES"/>
        </w:rPr>
      </w:pPr>
    </w:p>
    <w:p w14:paraId="7F8197BC"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29A6F78B"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057346DF"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32729568"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70DA79B1"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087B5D03"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7FABEA2B"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014368AA"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1212EABF"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7AC46292"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5B0687CA"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249445A6"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6740AF0B"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37882C9C"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7E2440EC"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4FDB9F49"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377A8F9B"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73E41036"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0F4EDED5" w14:textId="77777777" w:rsidR="00C00B69" w:rsidRPr="00395962" w:rsidRDefault="00C00B69" w:rsidP="00C00B69">
      <w:pPr>
        <w:pBdr>
          <w:top w:val="nil"/>
          <w:left w:val="nil"/>
          <w:bottom w:val="nil"/>
          <w:right w:val="nil"/>
          <w:between w:val="nil"/>
          <w:bar w:val="nil"/>
        </w:pBdr>
        <w:spacing w:line="240" w:lineRule="auto"/>
        <w:rPr>
          <w:lang w:eastAsia="es-ES" w:bidi="es-ES"/>
        </w:rPr>
      </w:pPr>
    </w:p>
    <w:p w14:paraId="28D38672" w14:textId="77777777" w:rsidR="00B0425E" w:rsidRDefault="00B0425E"/>
    <w:p w14:paraId="55D99D67" w14:textId="77777777" w:rsidR="00B0425E" w:rsidRDefault="00B0425E"/>
    <w:p w14:paraId="18785807" w14:textId="77777777" w:rsidR="00B0425E" w:rsidRDefault="00B0425E"/>
    <w:p w14:paraId="5BD5D5B0" w14:textId="77777777" w:rsidR="00B0425E" w:rsidRDefault="00B0425E"/>
    <w:p w14:paraId="3573B647" w14:textId="77777777" w:rsidR="00B0425E" w:rsidRDefault="00B0425E">
      <w:pPr>
        <w:rPr>
          <w:highlight w:val="cyan"/>
        </w:rPr>
      </w:pPr>
    </w:p>
    <w:p w14:paraId="33248681" w14:textId="77777777" w:rsidR="00B0425E" w:rsidRDefault="00B0425E">
      <w:pPr>
        <w:rPr>
          <w:highlight w:val="cyan"/>
        </w:rPr>
      </w:pPr>
    </w:p>
    <w:p w14:paraId="1B48CBFF" w14:textId="77777777" w:rsidR="00B0425E" w:rsidRDefault="00B0425E">
      <w:pPr>
        <w:rPr>
          <w:highlight w:val="cyan"/>
        </w:rPr>
        <w:sectPr w:rsidR="00B0425E">
          <w:type w:val="continuous"/>
          <w:pgSz w:w="11906" w:h="16838"/>
          <w:pgMar w:top="1701" w:right="1134" w:bottom="1701" w:left="1134" w:header="709" w:footer="283" w:gutter="0"/>
          <w:cols w:num="2" w:space="720" w:equalWidth="0">
            <w:col w:w="4691" w:space="254"/>
            <w:col w:w="4691" w:space="0"/>
          </w:cols>
        </w:sectPr>
      </w:pPr>
    </w:p>
    <w:p w14:paraId="52C6B3E7" w14:textId="77777777" w:rsidR="00B0425E" w:rsidRDefault="00B042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232323"/>
          <w:highlight w:val="yellow"/>
        </w:rPr>
        <w:sectPr w:rsidR="00B0425E">
          <w:type w:val="continuous"/>
          <w:pgSz w:w="11906" w:h="16838"/>
          <w:pgMar w:top="1701" w:right="1134" w:bottom="1701" w:left="1134" w:header="709" w:footer="283" w:gutter="0"/>
          <w:cols w:space="720"/>
        </w:sectPr>
      </w:pPr>
    </w:p>
    <w:p w14:paraId="2BF07C96" w14:textId="77777777" w:rsidR="00B0425E" w:rsidRDefault="00B0425E"/>
    <w:p w14:paraId="43E84DE6" w14:textId="77777777" w:rsidR="00B0425E" w:rsidRDefault="00B0425E"/>
    <w:p w14:paraId="4C2F4BD8" w14:textId="3438DE76" w:rsidR="00B0425E" w:rsidRDefault="00B0425E"/>
    <w:sectPr w:rsidR="00B0425E">
      <w:headerReference w:type="default" r:id="rId72"/>
      <w:footerReference w:type="default" r:id="rId73"/>
      <w:headerReference w:type="first" r:id="rId74"/>
      <w:footerReference w:type="first" r:id="rId75"/>
      <w:type w:val="continuous"/>
      <w:pgSz w:w="11906" w:h="16838"/>
      <w:pgMar w:top="1701" w:right="1134" w:bottom="1701" w:left="1134" w:header="709"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89D0B" w14:textId="77777777" w:rsidR="00DF0983" w:rsidRDefault="00DF0983">
      <w:pPr>
        <w:spacing w:before="0" w:line="240" w:lineRule="auto"/>
      </w:pPr>
      <w:r>
        <w:separator/>
      </w:r>
    </w:p>
  </w:endnote>
  <w:endnote w:type="continuationSeparator" w:id="0">
    <w:p w14:paraId="7DC306F5" w14:textId="77777777" w:rsidR="00DF0983" w:rsidRDefault="00DF09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67C79A-620F-4633-AFAD-D05D4BC94BD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Light">
    <w:altName w:val="Arial"/>
    <w:charset w:val="B1"/>
    <w:family w:val="swiss"/>
    <w:pitch w:val="variable"/>
    <w:sig w:usb0="80000A67" w:usb1="00000000" w:usb2="00000000" w:usb3="00000000" w:csb0="000001F7" w:csb1="00000000"/>
  </w:font>
  <w:font w:name="Gill Sans SemiBold">
    <w:charset w:val="00"/>
    <w:family w:val="swiss"/>
    <w:pitch w:val="variable"/>
    <w:sig w:usb0="8000026F" w:usb1="5000004A" w:usb2="00000000" w:usb3="00000000" w:csb0="00000005" w:csb1="00000000"/>
  </w:font>
  <w:font w:name="Gill Sans">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 w:fontKey="{95A48E0F-8627-44BE-83DA-120898DD0140}"/>
    <w:embedBold r:id="rId3" w:fontKey="{13CF8657-3DF3-4F14-8249-C8487B9BB521}"/>
    <w:embedItalic r:id="rId4" w:fontKey="{7D0C4E69-01C8-4FB0-B7F0-144D0A0ABD37}"/>
  </w:font>
  <w:font w:name="Cutive">
    <w:altName w:val="Calibri"/>
    <w:charset w:val="00"/>
    <w:family w:val="auto"/>
    <w:pitch w:val="default"/>
  </w:font>
  <w:font w:name="Apple SD 산돌고딕 Neo 일반체">
    <w:altName w:val="Malgun Gothic"/>
    <w:charset w:val="81"/>
    <w:family w:val="auto"/>
    <w:pitch w:val="variable"/>
    <w:sig w:usb0="00000203" w:usb1="29D72C10" w:usb2="00000010" w:usb3="00000000" w:csb0="00280005"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Bold r:id="rId5" w:fontKey="{4A7B3554-EFEB-4869-9612-A55CF6F20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B1AE" w14:textId="77777777" w:rsidR="001E6487" w:rsidRDefault="001E64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4A36" w14:textId="70BAE81B" w:rsidR="00B0425E" w:rsidRDefault="00000000">
    <w:pPr>
      <w:widowControl w:val="0"/>
      <w:pBdr>
        <w:top w:val="nil"/>
        <w:left w:val="nil"/>
        <w:bottom w:val="nil"/>
        <w:right w:val="nil"/>
        <w:between w:val="nil"/>
      </w:pBdr>
      <w:tabs>
        <w:tab w:val="center" w:pos="4419"/>
        <w:tab w:val="right" w:pos="8838"/>
        <w:tab w:val="left" w:pos="9204"/>
      </w:tabs>
      <w:ind w:right="800"/>
      <w:jc w:val="center"/>
      <w:rPr>
        <w:color w:val="6B1F83"/>
      </w:rPr>
    </w:pPr>
    <w:r>
      <w:rPr>
        <w:color w:val="6B1F83"/>
      </w:rPr>
      <w:t>Apellido, Nombre. (2021).</w:t>
    </w:r>
    <w:r>
      <w:rPr>
        <w:rFonts w:ascii="Gill Sans" w:eastAsia="Gill Sans" w:hAnsi="Gill Sans" w:cs="Gill Sans"/>
        <w:color w:val="232323"/>
        <w:sz w:val="18"/>
        <w:szCs w:val="18"/>
      </w:rPr>
      <w:t xml:space="preserve"> </w:t>
    </w:r>
    <w:r>
      <w:rPr>
        <w:color w:val="6B1F83"/>
      </w:rPr>
      <w:t xml:space="preserve">Título de la . </w:t>
    </w:r>
    <w:r>
      <w:rPr>
        <w:i/>
        <w:color w:val="6B1F83"/>
      </w:rPr>
      <w:t>Investigaciones Sobre Lectura</w:t>
    </w:r>
    <w:r>
      <w:rPr>
        <w:color w:val="6B1F83"/>
      </w:rPr>
      <w:t xml:space="preserve">, X, </w:t>
    </w:r>
    <w:r>
      <w:rPr>
        <w:color w:val="6B1F83"/>
      </w:rPr>
      <w:t>X</w:t>
    </w:r>
    <w:r w:rsidR="001E6487">
      <w:rPr>
        <w:color w:val="6B1F83"/>
      </w:rPr>
      <w:t>-</w:t>
    </w:r>
    <w:r>
      <w:rPr>
        <w:color w:val="6B1F83"/>
      </w:rPr>
      <w:t xml:space="preserve">X. </w:t>
    </w:r>
  </w:p>
  <w:p w14:paraId="2977E28D" w14:textId="77777777" w:rsidR="00B0425E" w:rsidRDefault="00000000">
    <w:pPr>
      <w:widowControl w:val="0"/>
      <w:pBdr>
        <w:top w:val="nil"/>
        <w:left w:val="nil"/>
        <w:bottom w:val="nil"/>
        <w:right w:val="nil"/>
        <w:between w:val="nil"/>
      </w:pBdr>
      <w:tabs>
        <w:tab w:val="center" w:pos="4419"/>
        <w:tab w:val="right" w:pos="8838"/>
        <w:tab w:val="left" w:pos="9204"/>
      </w:tabs>
      <w:ind w:right="800"/>
      <w:jc w:val="center"/>
      <w:rPr>
        <w:rFonts w:ascii="Gill Sans" w:eastAsia="Gill Sans" w:hAnsi="Gill Sans" w:cs="Gill Sans"/>
        <w:color w:val="232323"/>
        <w:sz w:val="18"/>
        <w:szCs w:val="18"/>
      </w:rPr>
    </w:pPr>
    <w:r>
      <w:rPr>
        <w:color w:val="937AB2"/>
      </w:rPr>
      <w:t xml:space="preserve"> </w:t>
    </w:r>
    <w:r>
      <w:rPr>
        <w:color w:val="937AB2"/>
      </w:rPr>
      <w:fldChar w:fldCharType="begin"/>
    </w:r>
    <w:r>
      <w:rPr>
        <w:color w:val="937AB2"/>
      </w:rPr>
      <w:instrText>PAGE</w:instrText>
    </w:r>
    <w:r>
      <w:rPr>
        <w:color w:val="937AB2"/>
      </w:rPr>
      <w:fldChar w:fldCharType="separate"/>
    </w:r>
    <w:r w:rsidR="008D4F67">
      <w:rPr>
        <w:noProof/>
        <w:color w:val="937AB2"/>
      </w:rPr>
      <w:t>46</w:t>
    </w:r>
    <w:r>
      <w:rPr>
        <w:color w:val="937AB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F0D7" w14:textId="77777777" w:rsidR="001E6487" w:rsidRDefault="001E648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348B" w14:textId="77777777" w:rsidR="00B0425E" w:rsidRDefault="00000000">
    <w:pPr>
      <w:widowControl w:val="0"/>
      <w:pBdr>
        <w:top w:val="nil"/>
        <w:left w:val="nil"/>
        <w:bottom w:val="nil"/>
        <w:right w:val="nil"/>
        <w:between w:val="nil"/>
      </w:pBdr>
      <w:tabs>
        <w:tab w:val="center" w:pos="4419"/>
        <w:tab w:val="right" w:pos="8838"/>
        <w:tab w:val="left" w:pos="9204"/>
      </w:tabs>
      <w:ind w:right="800"/>
      <w:jc w:val="center"/>
      <w:rPr>
        <w:color w:val="6B1F83"/>
      </w:rPr>
    </w:pPr>
    <w:r>
      <w:rPr>
        <w:color w:val="6B1F83"/>
      </w:rPr>
      <w:t>Apellido, Nombre. (2021).</w:t>
    </w:r>
    <w:r>
      <w:rPr>
        <w:rFonts w:ascii="Gill Sans" w:eastAsia="Gill Sans" w:hAnsi="Gill Sans" w:cs="Gill Sans"/>
        <w:color w:val="232323"/>
        <w:sz w:val="18"/>
        <w:szCs w:val="18"/>
      </w:rPr>
      <w:t xml:space="preserve"> </w:t>
    </w:r>
    <w:r>
      <w:rPr>
        <w:color w:val="6B1F83"/>
      </w:rPr>
      <w:t xml:space="preserve">Título de la . </w:t>
    </w:r>
    <w:r>
      <w:rPr>
        <w:i/>
        <w:color w:val="6B1F83"/>
      </w:rPr>
      <w:t>Investigaciones Sobre Lectura</w:t>
    </w:r>
    <w:r>
      <w:rPr>
        <w:color w:val="6B1F83"/>
      </w:rPr>
      <w:t xml:space="preserve">, (15), 46-63. </w:t>
    </w:r>
  </w:p>
  <w:p w14:paraId="376A96FB" w14:textId="77777777" w:rsidR="00B0425E" w:rsidRDefault="00000000">
    <w:pPr>
      <w:widowControl w:val="0"/>
      <w:pBdr>
        <w:top w:val="nil"/>
        <w:left w:val="nil"/>
        <w:bottom w:val="nil"/>
        <w:right w:val="nil"/>
        <w:between w:val="nil"/>
      </w:pBdr>
      <w:tabs>
        <w:tab w:val="center" w:pos="4419"/>
        <w:tab w:val="right" w:pos="8838"/>
        <w:tab w:val="left" w:pos="9204"/>
      </w:tabs>
      <w:ind w:right="800"/>
      <w:jc w:val="center"/>
      <w:rPr>
        <w:rFonts w:ascii="Gill Sans" w:eastAsia="Gill Sans" w:hAnsi="Gill Sans" w:cs="Gill Sans"/>
        <w:color w:val="232323"/>
        <w:sz w:val="18"/>
        <w:szCs w:val="18"/>
      </w:rPr>
    </w:pPr>
    <w:r>
      <w:rPr>
        <w:color w:val="937AB2"/>
      </w:rPr>
      <w:t xml:space="preserve"> </w:t>
    </w:r>
    <w:r>
      <w:rPr>
        <w:color w:val="937AB2"/>
      </w:rPr>
      <w:fldChar w:fldCharType="begin"/>
    </w:r>
    <w:r>
      <w:rPr>
        <w:color w:val="937AB2"/>
      </w:rPr>
      <w:instrText>PAGE</w:instrText>
    </w:r>
    <w:r>
      <w:rPr>
        <w:color w:val="937AB2"/>
      </w:rPr>
      <w:fldChar w:fldCharType="separate"/>
    </w:r>
    <w:r w:rsidR="008D4F67">
      <w:rPr>
        <w:noProof/>
        <w:color w:val="937AB2"/>
      </w:rPr>
      <w:t>47</w:t>
    </w:r>
    <w:r>
      <w:rPr>
        <w:color w:val="937AB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99B1" w14:textId="77777777" w:rsidR="00B0425E" w:rsidRDefault="00B0425E">
    <w:pPr>
      <w:widowControl w:val="0"/>
      <w:pBdr>
        <w:top w:val="nil"/>
        <w:left w:val="nil"/>
        <w:bottom w:val="nil"/>
        <w:right w:val="nil"/>
        <w:between w:val="nil"/>
      </w:pBdr>
      <w:tabs>
        <w:tab w:val="center" w:pos="4419"/>
        <w:tab w:val="right" w:pos="8838"/>
        <w:tab w:val="left" w:pos="9204"/>
      </w:tabs>
      <w:ind w:right="800"/>
      <w:jc w:val="center"/>
      <w:rPr>
        <w:color w:val="B758D6"/>
      </w:rPr>
    </w:pPr>
  </w:p>
  <w:p w14:paraId="63EF03F9" w14:textId="77777777" w:rsidR="00B0425E" w:rsidRDefault="00000000">
    <w:pPr>
      <w:widowControl w:val="0"/>
      <w:pBdr>
        <w:top w:val="nil"/>
        <w:left w:val="nil"/>
        <w:bottom w:val="nil"/>
        <w:right w:val="nil"/>
        <w:between w:val="nil"/>
      </w:pBdr>
      <w:tabs>
        <w:tab w:val="center" w:pos="4419"/>
        <w:tab w:val="right" w:pos="8838"/>
        <w:tab w:val="left" w:pos="9204"/>
      </w:tabs>
      <w:ind w:right="800"/>
      <w:jc w:val="center"/>
      <w:rPr>
        <w:color w:val="937AB2"/>
      </w:rPr>
    </w:pPr>
    <w:r>
      <w:rPr>
        <w:color w:val="937AB2"/>
      </w:rPr>
      <w:t>Ares, M. (2021).</w:t>
    </w:r>
    <w:r>
      <w:rPr>
        <w:rFonts w:ascii="Gill Sans" w:eastAsia="Gill Sans" w:hAnsi="Gill Sans" w:cs="Gill Sans"/>
        <w:color w:val="232323"/>
        <w:sz w:val="18"/>
        <w:szCs w:val="18"/>
      </w:rPr>
      <w:t xml:space="preserve"> </w:t>
    </w:r>
    <w:r>
      <w:rPr>
        <w:color w:val="937AB2"/>
      </w:rPr>
      <w:t xml:space="preserve">Eficacia del programa de Facilitación de la Planificación para la prevención de dificultades de comprensión lectora. </w:t>
    </w:r>
    <w:r>
      <w:rPr>
        <w:i/>
        <w:color w:val="937AB2"/>
      </w:rPr>
      <w:t>Investigaciones Sobre Lectura</w:t>
    </w:r>
    <w:r>
      <w:rPr>
        <w:color w:val="937AB2"/>
      </w:rPr>
      <w:t>, (15), 46-63.</w:t>
    </w:r>
  </w:p>
  <w:p w14:paraId="63785E24" w14:textId="77777777" w:rsidR="00B0425E" w:rsidRDefault="00000000">
    <w:pPr>
      <w:pBdr>
        <w:top w:val="nil"/>
        <w:left w:val="nil"/>
        <w:bottom w:val="nil"/>
        <w:right w:val="nil"/>
        <w:between w:val="nil"/>
      </w:pBdr>
      <w:tabs>
        <w:tab w:val="center" w:pos="4252"/>
        <w:tab w:val="right" w:pos="8504"/>
      </w:tabs>
      <w:jc w:val="center"/>
      <w:rPr>
        <w:smallCaps/>
        <w:color w:val="B758D6"/>
      </w:rPr>
    </w:pPr>
    <w:r>
      <w:rPr>
        <w:smallCaps/>
        <w:color w:val="B758D6"/>
      </w:rPr>
      <w:fldChar w:fldCharType="begin"/>
    </w:r>
    <w:r>
      <w:rPr>
        <w:smallCaps/>
        <w:color w:val="B758D6"/>
      </w:rPr>
      <w:instrText>PAGE</w:instrText>
    </w:r>
    <w:r>
      <w:rPr>
        <w:smallCaps/>
        <w:color w:val="B758D6"/>
      </w:rPr>
      <w:fldChar w:fldCharType="separate"/>
    </w:r>
    <w:r w:rsidR="008D4F67">
      <w:rPr>
        <w:smallCaps/>
        <w:noProof/>
        <w:color w:val="B758D6"/>
      </w:rPr>
      <w:t>50</w:t>
    </w:r>
    <w:r>
      <w:rPr>
        <w:smallCaps/>
        <w:color w:val="B758D6"/>
      </w:rPr>
      <w:fldChar w:fldCharType="end"/>
    </w:r>
  </w:p>
  <w:p w14:paraId="1BC0807E" w14:textId="77777777" w:rsidR="00B0425E" w:rsidRDefault="00B0425E">
    <w:pPr>
      <w:pBdr>
        <w:top w:val="nil"/>
        <w:left w:val="nil"/>
        <w:bottom w:val="nil"/>
        <w:right w:val="nil"/>
        <w:between w:val="nil"/>
      </w:pBdr>
      <w:tabs>
        <w:tab w:val="right" w:pos="10337"/>
      </w:tabs>
      <w:spacing w:line="216" w:lineRule="auto"/>
      <w:jc w:val="right"/>
      <w:rPr>
        <w:rFonts w:ascii="Gill Sans" w:eastAsia="Gill Sans" w:hAnsi="Gill Sans" w:cs="Gill Sans"/>
        <w:smallCaps/>
        <w:color w:val="404040"/>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D758" w14:textId="77777777" w:rsidR="00B0425E" w:rsidRDefault="00B0425E">
    <w:pPr>
      <w:pBdr>
        <w:top w:val="nil"/>
        <w:left w:val="nil"/>
        <w:bottom w:val="nil"/>
        <w:right w:val="nil"/>
        <w:between w:val="nil"/>
      </w:pBdr>
      <w:tabs>
        <w:tab w:val="right" w:pos="10337"/>
      </w:tabs>
      <w:spacing w:line="216" w:lineRule="auto"/>
      <w:jc w:val="left"/>
      <w:rPr>
        <w:rFonts w:ascii="Gill Sans" w:eastAsia="Gill Sans" w:hAnsi="Gill Sans" w:cs="Gill Sans"/>
        <w:smallCaps/>
        <w:color w:val="40404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6A868" w14:textId="77777777" w:rsidR="00DF0983" w:rsidRDefault="00DF0983">
      <w:pPr>
        <w:spacing w:before="0" w:line="240" w:lineRule="auto"/>
      </w:pPr>
      <w:r>
        <w:separator/>
      </w:r>
    </w:p>
  </w:footnote>
  <w:footnote w:type="continuationSeparator" w:id="0">
    <w:p w14:paraId="59833B89" w14:textId="77777777" w:rsidR="00DF0983" w:rsidRDefault="00DF09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6362" w14:textId="77777777" w:rsidR="001E6487" w:rsidRDefault="001E64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97BED" w14:textId="77777777" w:rsidR="001E6487" w:rsidRDefault="001E64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E3D8" w14:textId="77777777" w:rsidR="001E6487" w:rsidRDefault="001E648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CD0C"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959F"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89C9"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pPr>
  </w:p>
  <w:p w14:paraId="43B4CAD2" w14:textId="77777777" w:rsidR="00B0425E" w:rsidRDefault="00B0425E">
    <w:pPr>
      <w:widowControl w:val="0"/>
      <w:pBdr>
        <w:top w:val="nil"/>
        <w:left w:val="nil"/>
        <w:bottom w:val="nil"/>
        <w:right w:val="nil"/>
        <w:between w:val="nil"/>
      </w:pBdr>
      <w:spacing w:after="120"/>
      <w:rPr>
        <w:rFonts w:ascii="Gill Sans" w:eastAsia="Gill Sans" w:hAnsi="Gill Sans" w:cs="Gill Sans"/>
        <w:color w:val="232323"/>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8027" w14:textId="77777777" w:rsidR="00B0425E" w:rsidRDefault="00B0425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6895"/>
    <w:multiLevelType w:val="multilevel"/>
    <w:tmpl w:val="C9F68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E461AE"/>
    <w:multiLevelType w:val="multilevel"/>
    <w:tmpl w:val="2ECEF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82640E"/>
    <w:multiLevelType w:val="multilevel"/>
    <w:tmpl w:val="795E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642453">
    <w:abstractNumId w:val="2"/>
  </w:num>
  <w:num w:numId="2" w16cid:durableId="1140073976">
    <w:abstractNumId w:val="1"/>
  </w:num>
  <w:num w:numId="3" w16cid:durableId="1541355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25E"/>
    <w:rsid w:val="001705E1"/>
    <w:rsid w:val="001B3FFC"/>
    <w:rsid w:val="001E6487"/>
    <w:rsid w:val="00273B15"/>
    <w:rsid w:val="00287E78"/>
    <w:rsid w:val="002B186D"/>
    <w:rsid w:val="002C7EA3"/>
    <w:rsid w:val="0031476F"/>
    <w:rsid w:val="00463A8A"/>
    <w:rsid w:val="004F12C4"/>
    <w:rsid w:val="0061257A"/>
    <w:rsid w:val="006622CE"/>
    <w:rsid w:val="00703FDF"/>
    <w:rsid w:val="00823301"/>
    <w:rsid w:val="008D4F67"/>
    <w:rsid w:val="0091024B"/>
    <w:rsid w:val="00946FC2"/>
    <w:rsid w:val="00AC455F"/>
    <w:rsid w:val="00B0425E"/>
    <w:rsid w:val="00B131C2"/>
    <w:rsid w:val="00B15593"/>
    <w:rsid w:val="00B322BD"/>
    <w:rsid w:val="00BA6DA9"/>
    <w:rsid w:val="00C00B69"/>
    <w:rsid w:val="00C84AC8"/>
    <w:rsid w:val="00D03698"/>
    <w:rsid w:val="00DE5A1A"/>
    <w:rsid w:val="00DF0983"/>
    <w:rsid w:val="00E17D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476DD9D1"/>
  <w15:docId w15:val="{A5D6475D-F035-B946-B4C5-D6067B46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_tradnl" w:bidi="ar-SA"/>
      </w:rPr>
    </w:rPrDefault>
    <w:pPrDefault>
      <w:pPr>
        <w:spacing w:before="161"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Body"/>
    <w:uiPriority w:val="9"/>
    <w:qFormat/>
    <w:pPr>
      <w:widowControl w:val="0"/>
      <w:tabs>
        <w:tab w:val="right" w:pos="10337"/>
      </w:tabs>
      <w:spacing w:after="240"/>
      <w:outlineLvl w:val="0"/>
    </w:pPr>
    <w:rPr>
      <w:rFonts w:ascii="Gill Sans Light" w:eastAsia="Gill Sans Light" w:hAnsi="Gill Sans Light" w:cs="Gill Sans Light"/>
      <w:color w:val="232323"/>
      <w:sz w:val="56"/>
      <w:szCs w:val="56"/>
      <w14:textOutline w14:w="0" w14:cap="flat" w14:cmpd="sng" w14:algn="ctr">
        <w14:noFill/>
        <w14:prstDash w14:val="solid"/>
        <w14:bevel/>
      </w14:textOutline>
    </w:rPr>
  </w:style>
  <w:style w:type="paragraph" w:styleId="Ttulo2">
    <w:name w:val="heading 2"/>
    <w:uiPriority w:val="9"/>
    <w:semiHidden/>
    <w:unhideWhenUsed/>
    <w:qFormat/>
    <w:pPr>
      <w:widowControl w:val="0"/>
      <w:outlineLvl w:val="1"/>
    </w:pPr>
    <w:rPr>
      <w:rFonts w:ascii="Gill Sans SemiBold" w:eastAsia="Gill Sans SemiBold" w:hAnsi="Gill Sans SemiBold" w:cs="Gill Sans SemiBold"/>
      <w:caps/>
      <w:color w:val="FFFFFF"/>
      <w:spacing w:val="32"/>
      <w:sz w:val="16"/>
      <w:szCs w:val="16"/>
      <w:shd w:val="clear" w:color="auto" w:fill="434343"/>
      <w14:textOutline w14:w="0" w14:cap="flat" w14:cmpd="sng" w14:algn="ctr">
        <w14:noFill/>
        <w14:prstDash w14:val="solid"/>
        <w14:bevel/>
      </w14:textOutli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EC3079"/>
    <w:pPr>
      <w:keepNext/>
      <w:keepLines/>
      <w:spacing w:before="40"/>
      <w:outlineLvl w:val="3"/>
    </w:pPr>
    <w:rPr>
      <w:rFonts w:asciiTheme="majorHAnsi" w:eastAsiaTheme="majorEastAsia" w:hAnsiTheme="majorHAnsi" w:cstheme="majorBidi"/>
      <w:i/>
      <w:iCs/>
      <w:color w:val="2F759E"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FreeForm">
    <w:name w:val="Free Form"/>
    <w:pPr>
      <w:widowControl w:val="0"/>
      <w:spacing w:after="120"/>
    </w:pPr>
    <w:rPr>
      <w:rFonts w:ascii="Gill Sans" w:hAnsi="Gill Sans" w:cs="Arial Unicode MS"/>
      <w:color w:val="232323"/>
      <w:sz w:val="18"/>
      <w:szCs w:val="18"/>
      <w14:textOutline w14:w="0" w14:cap="flat" w14:cmpd="sng" w14:algn="ctr">
        <w14:noFill/>
        <w14:prstDash w14:val="solid"/>
        <w14:bevel/>
      </w14:textOutline>
    </w:rPr>
  </w:style>
  <w:style w:type="paragraph" w:customStyle="1" w:styleId="ContentPage">
    <w:name w:val="Content Page"/>
    <w:next w:val="Body"/>
    <w:pPr>
      <w:tabs>
        <w:tab w:val="right" w:pos="10337"/>
      </w:tabs>
      <w:spacing w:line="216" w:lineRule="auto"/>
      <w:jc w:val="right"/>
    </w:pPr>
    <w:rPr>
      <w:rFonts w:ascii="Gill Sans" w:hAnsi="Gill Sans" w:cs="Arial Unicode MS"/>
      <w:caps/>
      <w:color w:val="404040"/>
      <w:spacing w:val="42"/>
      <w:sz w:val="14"/>
      <w:szCs w:val="14"/>
      <w:lang w:val="es-ES_tradnl"/>
      <w14:textOutline w14:w="0" w14:cap="flat" w14:cmpd="sng" w14:algn="ctr">
        <w14:noFill/>
        <w14:prstDash w14:val="solid"/>
        <w14:bevel/>
      </w14:textOutline>
    </w:rPr>
  </w:style>
  <w:style w:type="paragraph" w:customStyle="1" w:styleId="Body">
    <w:name w:val="Body"/>
    <w:pPr>
      <w:widowControl w:val="0"/>
      <w:spacing w:after="120"/>
    </w:pPr>
    <w:rPr>
      <w:rFonts w:ascii="Gill Sans" w:hAnsi="Gill Sans" w:cs="Arial Unicode MS"/>
      <w:color w:val="232323"/>
      <w:sz w:val="18"/>
      <w:szCs w:val="18"/>
      <w:lang w:val="es-ES_tradnl"/>
      <w14:textOutline w14:w="0" w14:cap="flat" w14:cmpd="sng" w14:algn="ctr">
        <w14:noFill/>
        <w14:prstDash w14:val="solid"/>
        <w14:bevel/>
      </w14:textOutline>
    </w:rPr>
  </w:style>
  <w:style w:type="paragraph" w:customStyle="1" w:styleId="CoverTitle2">
    <w:name w:val="Cover Title 2"/>
    <w:next w:val="Body"/>
    <w:pPr>
      <w:tabs>
        <w:tab w:val="right" w:pos="10337"/>
      </w:tabs>
      <w:spacing w:line="216" w:lineRule="auto"/>
    </w:pPr>
    <w:rPr>
      <w:rFonts w:ascii="Gill Sans Light" w:eastAsia="Gill Sans Light" w:hAnsi="Gill Sans Light" w:cs="Gill Sans Light"/>
      <w:caps/>
      <w:color w:val="FFFFFF"/>
      <w:sz w:val="112"/>
      <w:szCs w:val="112"/>
      <w14:textOutline w14:w="0" w14:cap="flat" w14:cmpd="sng" w14:algn="ctr">
        <w14:noFill/>
        <w14:prstDash w14:val="solid"/>
        <w14:bevel/>
      </w14:textOutline>
    </w:rPr>
  </w:style>
  <w:style w:type="paragraph" w:customStyle="1" w:styleId="CoverSubtitle">
    <w:name w:val="Cover Subtitle"/>
    <w:next w:val="Body"/>
    <w:pPr>
      <w:tabs>
        <w:tab w:val="right" w:pos="10337"/>
      </w:tabs>
      <w:spacing w:after="320" w:line="216" w:lineRule="auto"/>
    </w:pPr>
    <w:rPr>
      <w:rFonts w:ascii="Gill Sans" w:hAnsi="Gill Sans" w:cs="Arial Unicode MS"/>
      <w:color w:val="FFFFFF"/>
      <w:lang w:val="es-ES_tradnl"/>
      <w14:textOutline w14:w="0" w14:cap="flat" w14:cmpd="sng" w14:algn="ctr">
        <w14:noFill/>
        <w14:prstDash w14:val="solid"/>
        <w14:bevel/>
      </w14:textOutline>
    </w:rPr>
  </w:style>
  <w:style w:type="numbering" w:customStyle="1" w:styleId="Bullet">
    <w:name w:val="Bullet"/>
  </w:style>
  <w:style w:type="character" w:customStyle="1" w:styleId="Hyperlink0">
    <w:name w:val="Hyperlink.0"/>
    <w:basedOn w:val="Hipervnculo"/>
    <w:rPr>
      <w:outline w:val="0"/>
      <w:color w:val="000099"/>
      <w:u w:val="single"/>
    </w:rPr>
  </w:style>
  <w:style w:type="paragraph" w:styleId="Encabezado">
    <w:name w:val="header"/>
    <w:basedOn w:val="Normal"/>
    <w:link w:val="EncabezadoCar"/>
    <w:uiPriority w:val="99"/>
    <w:unhideWhenUsed/>
    <w:rsid w:val="00411882"/>
    <w:pPr>
      <w:tabs>
        <w:tab w:val="center" w:pos="4252"/>
        <w:tab w:val="right" w:pos="8504"/>
      </w:tabs>
    </w:pPr>
  </w:style>
  <w:style w:type="character" w:customStyle="1" w:styleId="EncabezadoCar">
    <w:name w:val="Encabezado Car"/>
    <w:basedOn w:val="Fuentedeprrafopredeter"/>
    <w:link w:val="Encabezado"/>
    <w:uiPriority w:val="99"/>
    <w:rsid w:val="00411882"/>
    <w:rPr>
      <w:sz w:val="24"/>
      <w:szCs w:val="24"/>
      <w:lang w:val="en-US" w:eastAsia="en-US"/>
    </w:rPr>
  </w:style>
  <w:style w:type="paragraph" w:styleId="Piedepgina">
    <w:name w:val="footer"/>
    <w:basedOn w:val="Normal"/>
    <w:link w:val="PiedepginaCar"/>
    <w:uiPriority w:val="99"/>
    <w:unhideWhenUsed/>
    <w:rsid w:val="00411882"/>
    <w:pPr>
      <w:tabs>
        <w:tab w:val="center" w:pos="4252"/>
        <w:tab w:val="right" w:pos="8504"/>
      </w:tabs>
    </w:pPr>
  </w:style>
  <w:style w:type="character" w:customStyle="1" w:styleId="PiedepginaCar">
    <w:name w:val="Pie de página Car"/>
    <w:basedOn w:val="Fuentedeprrafopredeter"/>
    <w:link w:val="Piedepgina"/>
    <w:uiPriority w:val="99"/>
    <w:rsid w:val="00411882"/>
    <w:rPr>
      <w:sz w:val="24"/>
      <w:szCs w:val="24"/>
      <w:lang w:val="en-US" w:eastAsia="en-US"/>
    </w:rPr>
  </w:style>
  <w:style w:type="character" w:styleId="Mencinsinresolver">
    <w:name w:val="Unresolved Mention"/>
    <w:basedOn w:val="Fuentedeprrafopredeter"/>
    <w:uiPriority w:val="99"/>
    <w:semiHidden/>
    <w:unhideWhenUsed/>
    <w:rsid w:val="00933974"/>
    <w:rPr>
      <w:color w:val="605E5C"/>
      <w:shd w:val="clear" w:color="auto" w:fill="E1DFDD"/>
    </w:rPr>
  </w:style>
  <w:style w:type="character" w:customStyle="1" w:styleId="Ttulo4Car">
    <w:name w:val="Título 4 Car"/>
    <w:basedOn w:val="Fuentedeprrafopredeter"/>
    <w:link w:val="Ttulo4"/>
    <w:uiPriority w:val="9"/>
    <w:semiHidden/>
    <w:rsid w:val="00EC3079"/>
    <w:rPr>
      <w:rFonts w:asciiTheme="majorHAnsi" w:eastAsiaTheme="majorEastAsia" w:hAnsiTheme="majorHAnsi" w:cstheme="majorBidi"/>
      <w:i/>
      <w:iCs/>
      <w:color w:val="2F759E" w:themeColor="accent1" w:themeShade="BF"/>
      <w:sz w:val="24"/>
      <w:szCs w:val="24"/>
      <w:lang w:val="en-US" w:eastAsia="en-US"/>
    </w:rPr>
  </w:style>
  <w:style w:type="paragraph" w:styleId="Prrafodelista">
    <w:name w:val="List Paragraph"/>
    <w:basedOn w:val="Normal"/>
    <w:uiPriority w:val="34"/>
    <w:qFormat/>
    <w:rsid w:val="00790811"/>
    <w:pPr>
      <w:ind w:left="720"/>
      <w:contextualSpacing/>
    </w:pPr>
  </w:style>
  <w:style w:type="character" w:styleId="Hipervnculovisitado">
    <w:name w:val="FollowedHyperlink"/>
    <w:basedOn w:val="Fuentedeprrafopredeter"/>
    <w:uiPriority w:val="99"/>
    <w:semiHidden/>
    <w:unhideWhenUsed/>
    <w:rsid w:val="002148A7"/>
    <w:rPr>
      <w:color w:val="FF00FF" w:themeColor="followedHyperlink"/>
      <w:u w:val="single"/>
    </w:rPr>
  </w:style>
  <w:style w:type="character" w:styleId="Textodelmarcadordeposicin">
    <w:name w:val="Placeholder Text"/>
    <w:basedOn w:val="Fuentedeprrafopredeter"/>
    <w:uiPriority w:val="99"/>
    <w:semiHidden/>
    <w:rsid w:val="003B6580"/>
    <w:rPr>
      <w:color w:val="808080"/>
    </w:rPr>
  </w:style>
  <w:style w:type="paragraph" w:styleId="Textoindependiente">
    <w:name w:val="Body Text"/>
    <w:basedOn w:val="Normal"/>
    <w:link w:val="TextoindependienteCar"/>
    <w:uiPriority w:val="99"/>
    <w:semiHidden/>
    <w:unhideWhenUsed/>
    <w:rsid w:val="00B06232"/>
    <w:pPr>
      <w:spacing w:after="120"/>
    </w:pPr>
  </w:style>
  <w:style w:type="character" w:customStyle="1" w:styleId="TextoindependienteCar">
    <w:name w:val="Texto independiente Car"/>
    <w:basedOn w:val="Fuentedeprrafopredeter"/>
    <w:link w:val="Textoindependiente"/>
    <w:uiPriority w:val="99"/>
    <w:semiHidden/>
    <w:rsid w:val="00B06232"/>
  </w:style>
  <w:style w:type="character" w:customStyle="1" w:styleId="apple-converted-space">
    <w:name w:val="apple-converted-space"/>
    <w:basedOn w:val="Fuentedeprrafopredeter"/>
    <w:rsid w:val="00FC58C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2.xml"/><Relationship Id="rId42" Type="http://schemas.openxmlformats.org/officeDocument/2006/relationships/hyperlink" Target="https://doi.org/10.4438/1988-592X-RE-2019-384-413" TargetMode="External"/><Relationship Id="rId47" Type="http://schemas.openxmlformats.org/officeDocument/2006/relationships/hyperlink" Target="https://doi.org/10.1093/jeea/jvy054" TargetMode="External"/><Relationship Id="rId63" Type="http://schemas.openxmlformats.org/officeDocument/2006/relationships/hyperlink" Target="https://doi.org/10.1080/03004430.2016.1261514" TargetMode="External"/><Relationship Id="rId68" Type="http://schemas.openxmlformats.org/officeDocument/2006/relationships/hyperlink" Target="https://pirls2021.org/methods" TargetMode="External"/><Relationship Id="rId16" Type="http://schemas.openxmlformats.org/officeDocument/2006/relationships/hyperlink" Target="https://orcid.org/0000-0002-1128-2360" TargetMode="External"/><Relationship Id="rId11" Type="http://schemas.openxmlformats.org/officeDocument/2006/relationships/image" Target="media/image4.png"/><Relationship Id="rId24" Type="http://schemas.openxmlformats.org/officeDocument/2006/relationships/image" Target="media/image8.jpg"/><Relationship Id="rId32" Type="http://schemas.openxmlformats.org/officeDocument/2006/relationships/hyperlink" Target="https://psycnet.apa.org/doi/10.1037/spq0000282" TargetMode="External"/><Relationship Id="rId37" Type="http://schemas.openxmlformats.org/officeDocument/2006/relationships/hyperlink" Target="https://doi.org/10.1177/0022219420979960" TargetMode="External"/><Relationship Id="rId40" Type="http://schemas.openxmlformats.org/officeDocument/2006/relationships/hyperlink" Target="https://doi.org/10.1016/j.econedurev.2018.06.003" TargetMode="External"/><Relationship Id="rId45" Type="http://schemas.openxmlformats.org/officeDocument/2006/relationships/hyperlink" Target="https://doi.org/10.1007/s11218-018-9475-5" TargetMode="External"/><Relationship Id="rId53" Type="http://schemas.openxmlformats.org/officeDocument/2006/relationships/hyperlink" Target="https://doi.org/10.1177/2332649220942265" TargetMode="External"/><Relationship Id="rId58" Type="http://schemas.openxmlformats.org/officeDocument/2006/relationships/hyperlink" Target="https://doi.org/10.1177/1086296X221116866" TargetMode="External"/><Relationship Id="rId66" Type="http://schemas.openxmlformats.org/officeDocument/2006/relationships/hyperlink" Target="https://doi.org/10.3102/0034654320919352" TargetMode="External"/><Relationship Id="rId74"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doi.org/10.24310/isl.2.18.2023.16511" TargetMode="External"/><Relationship Id="rId19" Type="http://schemas.openxmlformats.org/officeDocument/2006/relationships/header" Target="header2.xml"/><Relationship Id="rId14" Type="http://schemas.openxmlformats.org/officeDocument/2006/relationships/hyperlink" Target="https://orcid.org/0000-0002-1128-2360" TargetMode="External"/><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hyperlink" Target="https://doi.org/10.1016/j.stueduc.2021.101045" TargetMode="External"/><Relationship Id="rId43" Type="http://schemas.openxmlformats.org/officeDocument/2006/relationships/hyperlink" Target="https://doi.org/10.1111/desc.12434" TargetMode="External"/><Relationship Id="rId48" Type="http://schemas.openxmlformats.org/officeDocument/2006/relationships/hyperlink" Target="https://doi.org/10.1177/0042085915595092" TargetMode="External"/><Relationship Id="rId56" Type="http://schemas.openxmlformats.org/officeDocument/2006/relationships/hyperlink" Target="https://timssandpirls.bc.edu/pirls2021/frameworks/" TargetMode="External"/><Relationship Id="rId64" Type="http://schemas.openxmlformats.org/officeDocument/2006/relationships/hyperlink" Target="https://doi.org/10.1016/j.edurev.2023.100547" TargetMode="External"/><Relationship Id="rId69" Type="http://schemas.openxmlformats.org/officeDocument/2006/relationships/hyperlink" Target="https://doi.org/10.1016/j.ssresearch.2022.102744"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16/j.psicod.2021.05.001"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doi.org/10.3389/fbuil.2021.688395" TargetMode="External"/><Relationship Id="rId38" Type="http://schemas.openxmlformats.org/officeDocument/2006/relationships/hyperlink" Target="https://doi.org/10.6018/rie.37.2.312661" TargetMode="External"/><Relationship Id="rId46" Type="http://schemas.openxmlformats.org/officeDocument/2006/relationships/hyperlink" Target="https://doi.org/10.1177/0271121416642454" TargetMode="External"/><Relationship Id="rId59" Type="http://schemas.openxmlformats.org/officeDocument/2006/relationships/hyperlink" Target="https://doi.org/10.1177/0038040717741180" TargetMode="External"/><Relationship Id="rId67" Type="http://schemas.openxmlformats.org/officeDocument/2006/relationships/hyperlink" Target="https://doi.org/10.24310/revistaisl.vi12.11109" TargetMode="External"/><Relationship Id="rId20" Type="http://schemas.openxmlformats.org/officeDocument/2006/relationships/footer" Target="footer1.xml"/><Relationship Id="rId41" Type="http://schemas.openxmlformats.org/officeDocument/2006/relationships/hyperlink" Target="https://pirls2021.org/data" TargetMode="External"/><Relationship Id="rId54" Type="http://schemas.openxmlformats.org/officeDocument/2006/relationships/hyperlink" Target="https://bit.ly/3Y1L88x" TargetMode="External"/><Relationship Id="rId62" Type="http://schemas.openxmlformats.org/officeDocument/2006/relationships/hyperlink" Target="https://doi.org/10.4438/1988-592X-RE-2017-380-373" TargetMode="External"/><Relationship Id="rId70" Type="http://schemas.openxmlformats.org/officeDocument/2006/relationships/hyperlink" Target="https://doi.org/10.3102/0002831217734804"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yperlink" Target="https://doi.org/10.1080/00313831.2017.1307274" TargetMode="External"/><Relationship Id="rId49" Type="http://schemas.openxmlformats.org/officeDocument/2006/relationships/hyperlink" Target="https://doi.org/10.1016/j.lindif.2023.102344" TargetMode="External"/><Relationship Id="rId57" Type="http://schemas.openxmlformats.org/officeDocument/2006/relationships/hyperlink" Target="https://doi.org/10.1080/13803611.2014.941371" TargetMode="External"/><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hyperlink" Target="https://doi.org/10.1186/s40536-016-0017-3" TargetMode="External"/><Relationship Id="rId52" Type="http://schemas.openxmlformats.org/officeDocument/2006/relationships/hyperlink" Target="https://doi.org/10.1007/s11145-020-10068-8" TargetMode="External"/><Relationship Id="rId60" Type="http://schemas.openxmlformats.org/officeDocument/2006/relationships/hyperlink" Target="https://doi.org/10.1080/00220671.2015.1016600" TargetMode="External"/><Relationship Id="rId65" Type="http://schemas.openxmlformats.org/officeDocument/2006/relationships/hyperlink" Target="https://doi.org/10.1016/j.jpubeco.2020.104308" TargetMode="Externa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ialnet.unirioja.es/servlet/revista?codigo=23306" TargetMode="External"/><Relationship Id="rId18" Type="http://schemas.openxmlformats.org/officeDocument/2006/relationships/header" Target="header1.xml"/><Relationship Id="rId39" Type="http://schemas.openxmlformats.org/officeDocument/2006/relationships/hyperlink" Target="https://psycnet.apa.org/doi/10.1037/dev0000796" TargetMode="External"/><Relationship Id="rId34" Type="http://schemas.openxmlformats.org/officeDocument/2006/relationships/hyperlink" Target="https://psycnet.apa.org/doi/10.1037/edu0000188" TargetMode="External"/><Relationship Id="rId50" Type="http://schemas.openxmlformats.org/officeDocument/2006/relationships/hyperlink" Target="https://doi.org/10.1016/j.ecresq.2021.12.009" TargetMode="External"/><Relationship Id="rId55" Type="http://schemas.openxmlformats.org/officeDocument/2006/relationships/hyperlink" Target="https://pirls2021.org/data/"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11/bjep.12495" TargetMode="External"/><Relationship Id="rId2" Type="http://schemas.openxmlformats.org/officeDocument/2006/relationships/numbering" Target="numbering.xml"/><Relationship Id="rId29" Type="http://schemas.openxmlformats.org/officeDocument/2006/relationships/hyperlink" Target="https://dialnet.unirioja.es/servlet/revista?codigo=233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Sombra superior">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5093B9"/>
        </a:solidFill>
        <a:ln w="12700" cap="flat">
          <a:noFill/>
          <a:miter lim="400000"/>
        </a:ln>
        <a:effectLst/>
        <a:sp3d/>
      </a:spPr>
      <a:bodyPr rot="0" spcFirstLastPara="1" vertOverflow="overflow" horzOverflow="overflow" vert="horz" wrap="square" lIns="101600" tIns="101600" rIns="101600" bIns="101600" numCol="1" spcCol="38100" rtlCol="0" anchor="t">
        <a:spAutoFit/>
      </a:bodyPr>
      <a:lstStyle>
        <a:defPPr marL="0" marR="0" indent="0" algn="l" defTabSz="450000" rtl="0" fontAlgn="auto" latinLnBrk="0" hangingPunct="0">
          <a:lnSpc>
            <a:spcPct val="100000"/>
          </a:lnSpc>
          <a:spcBef>
            <a:spcPts val="600"/>
          </a:spcBef>
          <a:spcAft>
            <a:spcPts val="0"/>
          </a:spcAft>
          <a:buClrTx/>
          <a:buSzTx/>
          <a:buFontTx/>
          <a:buNone/>
          <a:tabLst/>
          <a:defRPr kumimoji="0" sz="900" b="0" i="0" u="none" strike="noStrike" cap="none" spc="0" normalizeH="0" baseline="0">
            <a:ln>
              <a:noFill/>
            </a:ln>
            <a:solidFill>
              <a:srgbClr val="232323"/>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600"/>
          </a:spcBef>
          <a:spcAft>
            <a:spcPts val="0"/>
          </a:spcAft>
          <a:buClrTx/>
          <a:buSzTx/>
          <a:buFontTx/>
          <a:buNone/>
          <a:tabLst/>
          <a:defRPr kumimoji="0" sz="900" b="0" i="0" u="none" strike="noStrike" cap="none" spc="0" normalizeH="0" baseline="0">
            <a:ln>
              <a:noFill/>
            </a:ln>
            <a:solidFill>
              <a:srgbClr val="232323"/>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BC+pSsDf3HjOtPhBriaui0RDw==">CgMxLjAyCGguZ2pkZ3hzMgloLjMwajB6bGwyCWguMWZvYjl0ZTIJaC4zem55c2g3MgloLjJldDkycDA4AHIhMUVNR3pDR05qYVZjclZUbDYxbTFWMXVDY1BwamlucTBp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7831</Words>
  <Characters>43071</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iTTaste</dc:creator>
  <cp:lastModifiedBy>Par ciego 813</cp:lastModifiedBy>
  <cp:revision>2</cp:revision>
  <dcterms:created xsi:type="dcterms:W3CDTF">2025-12-15T20:13:00Z</dcterms:created>
  <dcterms:modified xsi:type="dcterms:W3CDTF">2025-12-15T20:13:00Z</dcterms:modified>
</cp:coreProperties>
</file>