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BAE" w:rsidRPr="005C2786" w:rsidRDefault="00E80BAE" w:rsidP="00E80BAE">
      <w:pPr>
        <w:pStyle w:val="NormalWeb"/>
        <w:pageBreakBefore/>
        <w:spacing w:after="0" w:line="360" w:lineRule="auto"/>
        <w:jc w:val="both"/>
      </w:pPr>
      <w:r w:rsidRPr="005C2786">
        <w:rPr>
          <w:b/>
          <w:bCs/>
          <w:color w:val="000000"/>
        </w:rPr>
        <w:t xml:space="preserve">Abraham </w:t>
      </w:r>
      <w:proofErr w:type="spellStart"/>
      <w:r w:rsidRPr="005C2786">
        <w:rPr>
          <w:b/>
          <w:bCs/>
          <w:color w:val="000000"/>
        </w:rPr>
        <w:t>Janssens</w:t>
      </w:r>
      <w:proofErr w:type="spellEnd"/>
      <w:r w:rsidRPr="005C2786">
        <w:rPr>
          <w:b/>
          <w:bCs/>
          <w:color w:val="000000"/>
        </w:rPr>
        <w:t xml:space="preserve"> y su Lamentación sobre Cristo muerto: una copia de taller inédita en España</w:t>
      </w:r>
    </w:p>
    <w:p w:rsidR="00763A7B" w:rsidRDefault="00E80BAE" w:rsidP="00E80BAE">
      <w:pPr>
        <w:pStyle w:val="NormalWeb"/>
        <w:spacing w:after="0" w:line="360" w:lineRule="auto"/>
        <w:ind w:firstLine="708"/>
        <w:jc w:val="both"/>
      </w:pPr>
      <w:r>
        <w:rPr>
          <w:color w:val="000000"/>
        </w:rPr>
        <w:t xml:space="preserve">Con este texto </w:t>
      </w:r>
      <w:r w:rsidR="00D5077A">
        <w:rPr>
          <w:color w:val="000000"/>
        </w:rPr>
        <w:t xml:space="preserve">damos </w:t>
      </w:r>
      <w:r>
        <w:rPr>
          <w:color w:val="000000"/>
        </w:rPr>
        <w:t xml:space="preserve">a conocer una nueva obra del pintor flamenco </w:t>
      </w:r>
      <w:r w:rsidRPr="004365FE">
        <w:t xml:space="preserve">Abraham </w:t>
      </w:r>
      <w:proofErr w:type="spellStart"/>
      <w:r w:rsidRPr="004365FE">
        <w:t>Janssens</w:t>
      </w:r>
      <w:proofErr w:type="spellEnd"/>
      <w:r w:rsidRPr="004365FE">
        <w:t xml:space="preserve"> conservada en España. Se trata de la </w:t>
      </w:r>
      <w:r w:rsidRPr="004365FE">
        <w:rPr>
          <w:i/>
          <w:iCs/>
        </w:rPr>
        <w:t>Lamentación sobre Cristo muerto</w:t>
      </w:r>
      <w:r w:rsidR="00857BF7" w:rsidRPr="004365FE">
        <w:t xml:space="preserve"> </w:t>
      </w:r>
      <w:r w:rsidR="00857BF7" w:rsidRPr="004365FE">
        <w:rPr>
          <w:b/>
        </w:rPr>
        <w:t>[</w:t>
      </w:r>
      <w:r w:rsidRPr="004365FE">
        <w:rPr>
          <w:b/>
        </w:rPr>
        <w:t>1</w:t>
      </w:r>
      <w:r w:rsidR="00857BF7" w:rsidRPr="004365FE">
        <w:rPr>
          <w:b/>
        </w:rPr>
        <w:t>]</w:t>
      </w:r>
      <w:r w:rsidRPr="004365FE">
        <w:t xml:space="preserve"> que alberga la Iglesia Mayor de Sanlúcar de Barrameda, en Andalucía</w:t>
      </w:r>
      <w:r w:rsidR="001B4012" w:rsidRPr="004365FE">
        <w:rPr>
          <w:rStyle w:val="Refdenotaalpie"/>
        </w:rPr>
        <w:footnoteReference w:id="1"/>
      </w:r>
      <w:r w:rsidRPr="004365FE">
        <w:t xml:space="preserve">. Esta pintura, </w:t>
      </w:r>
      <w:r>
        <w:rPr>
          <w:color w:val="000000"/>
        </w:rPr>
        <w:t xml:space="preserve">hasta ahora inédita, está realizada al óleo </w:t>
      </w:r>
      <w:r>
        <w:t xml:space="preserve">sobre lienzo y mide </w:t>
      </w:r>
      <w:r>
        <w:rPr>
          <w:color w:val="000000"/>
        </w:rPr>
        <w:t>aproximadamente 150 x 230</w:t>
      </w:r>
      <w:r>
        <w:rPr>
          <w:color w:val="FF3333"/>
        </w:rPr>
        <w:t xml:space="preserve"> </w:t>
      </w:r>
      <w:r>
        <w:rPr>
          <w:color w:val="000000"/>
        </w:rPr>
        <w:t>c</w:t>
      </w:r>
      <w:r w:rsidR="001B4012">
        <w:rPr>
          <w:color w:val="000000"/>
        </w:rPr>
        <w:t>entímetros</w:t>
      </w:r>
      <w:r w:rsidR="001B4012">
        <w:rPr>
          <w:rStyle w:val="Refdenotaalpie"/>
          <w:color w:val="000000"/>
        </w:rPr>
        <w:footnoteReference w:id="2"/>
      </w:r>
      <w:r>
        <w:rPr>
          <w:color w:val="000000"/>
        </w:rPr>
        <w:t xml:space="preserve">. </w:t>
      </w:r>
      <w:r>
        <w:t xml:space="preserve">En su formato apaisado se representa el cuerpo muerto de Cristo acompañado por la Virgen, San Juan, la Magdalena, José de </w:t>
      </w:r>
      <w:proofErr w:type="spellStart"/>
      <w:r>
        <w:t>Arimatea</w:t>
      </w:r>
      <w:proofErr w:type="spellEnd"/>
      <w:r>
        <w:t xml:space="preserve"> y una de las santas mujeres. </w:t>
      </w:r>
      <w:r w:rsidR="00D5077A">
        <w:t xml:space="preserve">Estamos </w:t>
      </w:r>
      <w:r>
        <w:t>ante una copia de la pintura del mismo asunto conservada en el Museo Nacional de Varsovia</w:t>
      </w:r>
      <w:r w:rsidR="00857BF7">
        <w:t xml:space="preserve"> </w:t>
      </w:r>
      <w:r w:rsidR="00857BF7" w:rsidRPr="00857BF7">
        <w:rPr>
          <w:b/>
        </w:rPr>
        <w:t>[2]</w:t>
      </w:r>
      <w:r w:rsidR="001B4012">
        <w:rPr>
          <w:rStyle w:val="Refdenotaalpie"/>
        </w:rPr>
        <w:footnoteReference w:id="3"/>
      </w:r>
      <w:r>
        <w:t xml:space="preserve">. </w:t>
      </w:r>
    </w:p>
    <w:p w:rsidR="000144C9" w:rsidRDefault="00E80BAE" w:rsidP="00E80BAE">
      <w:pPr>
        <w:pStyle w:val="NormalWeb"/>
        <w:spacing w:after="0" w:line="360" w:lineRule="auto"/>
        <w:ind w:firstLine="708"/>
        <w:jc w:val="both"/>
      </w:pPr>
      <w:r>
        <w:t xml:space="preserve">El motivo principal de la pintura es el cadáver de Jesús, colocado sobre lo que parece la losa del sepulcro y una voluminosa almohada, ambas cubiertas por una sábana blanca. La anatomía de Cristo se muestra poderosa, sobre todo en piernas y brazos, resultando algo más mórbida en el torso. </w:t>
      </w:r>
      <w:r w:rsidR="000144C9">
        <w:t>L</w:t>
      </w:r>
      <w:r>
        <w:t xml:space="preserve">a carnación usada, apenas interrumpida por un paño que tapa la zona inguinal, es clara y uniforme, salvo en el rostro, manos, pies y rodillas, que presentan evidentes matices verdosos. </w:t>
      </w:r>
      <w:r w:rsidR="000144C9">
        <w:t>S</w:t>
      </w:r>
      <w:r>
        <w:t xml:space="preserve">e muestra una imagen incruenta de Jesús, con toda la piel y las llagas limpias de sangre. De hecho, se plasma el momento en que la limpieza del cuerpo ha finalizado, como delata la palangana de metal dorado </w:t>
      </w:r>
      <w:r w:rsidR="00253F49">
        <w:t xml:space="preserve">de </w:t>
      </w:r>
      <w:r>
        <w:t xml:space="preserve">la esquina inferior izquierda. </w:t>
      </w:r>
    </w:p>
    <w:p w:rsidR="00E80BAE" w:rsidRDefault="00E80BAE" w:rsidP="00E80BAE">
      <w:pPr>
        <w:pStyle w:val="NormalWeb"/>
        <w:spacing w:after="0" w:line="360" w:lineRule="auto"/>
        <w:ind w:firstLine="708"/>
        <w:jc w:val="both"/>
      </w:pPr>
      <w:r>
        <w:t xml:space="preserve">A la derecha del recipiente, hay una hoja de papel con una leyenda que dice “Jesús Nazareno rey de los judíos”, escrita en hebreo, griego y latín. En el centro del cuadro, la Magdalena está vestida de un violeta extremadamente pálido y está cubierta por un manto amarillo mostaza, que parece de tafetán. La santa, que está de rodillas, acerca la mano llagada de Cristo a sus labios, en ademán de besarla, usando un lienzo blanco para sostener respetuosamente el brazo. Su cabello es rubio cobrizo y queda recogido en un moño alto, aderezado con una cuerda bicolor de seda torcida. Los efectos del llanto se </w:t>
      </w:r>
      <w:r>
        <w:lastRenderedPageBreak/>
        <w:t xml:space="preserve">perciben en su pálido rostro, que presenta zonas enrojecidas. Por su parte, la Virgen aparece arrodillada a los pies de su hijo, en el extremo derecho de la pintura. Está completamente cubierta por un gran manto azul oscuro, bajo el que aflora la toca y las mangas del vestido, de color blanco. Con las manos entrelazadas a la altura del regazo y el enrojecido rostro hacia el frente, dirige su mirada hacia arriba, en actitud de ensimismada plegaria. San Juan, situado en un plano posterior, </w:t>
      </w:r>
      <w:r w:rsidR="001F3828">
        <w:t xml:space="preserve">está </w:t>
      </w:r>
      <w:r>
        <w:t xml:space="preserve">entre la Virgen y la Magdalena, con túnica oscura y manto rojo. </w:t>
      </w:r>
      <w:r w:rsidR="001F3828">
        <w:t xml:space="preserve">Su </w:t>
      </w:r>
      <w:r>
        <w:t xml:space="preserve">pelo castaño aparece peinado con la raya en medio y en su rostro se aprecia una incipiente barba. Con los dedos unidos en gesto de oración, se asoma por detrás de la Magdalena, como buscando su sitio para contemplar a Cristo. </w:t>
      </w:r>
    </w:p>
    <w:p w:rsidR="00E80BAE" w:rsidRDefault="00E80BAE" w:rsidP="00E80BAE">
      <w:pPr>
        <w:pStyle w:val="NormalWeb"/>
        <w:spacing w:after="0" w:line="360" w:lineRule="auto"/>
        <w:ind w:firstLine="708"/>
        <w:jc w:val="both"/>
      </w:pPr>
      <w:r>
        <w:t xml:space="preserve">Por último, en el ángulo superior izquierdo, en el mismo plano de profundidad que San Juan, están representados José de </w:t>
      </w:r>
      <w:proofErr w:type="spellStart"/>
      <w:r>
        <w:t>Arimatea</w:t>
      </w:r>
      <w:proofErr w:type="spellEnd"/>
      <w:r>
        <w:t xml:space="preserve"> y una de las santas mujeres. El santo varón, cuya barba es larga y cana, viste una túnica encarnada, apenas visible, y lleva un gorro de tela oscura. La mujer, de cuello algo rollizo y mejillas encendidas, viste una túnica blanca con una bata encima de color verde intenso y cubre su pelo oscuro con un vistoso turbante de color verde amarillento, cuyo tejido a rayas suele emplearse para plasmar la indumentaria de los judíos. La mujer, que une sus dedos índices, dirige la mirada y parece decir algo a </w:t>
      </w:r>
      <w:proofErr w:type="spellStart"/>
      <w:r>
        <w:t>Arimatea</w:t>
      </w:r>
      <w:proofErr w:type="spellEnd"/>
      <w:r>
        <w:t xml:space="preserve">, mientras este mira la mano de Cristo besada por la Magdalena y realiza un gesto con la mano derecha. </w:t>
      </w:r>
    </w:p>
    <w:p w:rsidR="00E80BAE" w:rsidRDefault="00E80BAE" w:rsidP="00E80BAE">
      <w:pPr>
        <w:pStyle w:val="NormalWeb"/>
        <w:spacing w:after="0" w:line="360" w:lineRule="auto"/>
        <w:ind w:firstLine="708"/>
        <w:jc w:val="both"/>
      </w:pPr>
      <w:r>
        <w:t>En cuanto a las líneas compositivas, destaca con claridad la diagonal que describe la figura de Cristo. Asimismo, tiene un gran protagonismo el conjunto formado por Jesús y la Magdalena, que crean un triángulo que se aprecia si unimos con líneas imaginarias la cabeza de la santa con la cabeza y los pies de Cristo. La introducción de la palangana en el ángulo inferior izquierdo parece querer compensar el desequilibrio del mencionado triángulo, transformándolo en una estable pirámide. Por otro lado, también se observa una línea circular que une la cabeza de la Magdalena, la de Cristo, su costado, la pierna y ambas rodillas, para volver a la cabeza de la Magdalena</w:t>
      </w:r>
      <w:r w:rsidR="0027160C">
        <w:t xml:space="preserve">, </w:t>
      </w:r>
      <w:r>
        <w:t>recorriendo todo el contorno de su espalda. Además, a excepción de la figura de la Virgen, que se muestra a la derecha, rotunda y yuxtapuesta, el resto de las imágenes queda claramente supeditado a este grupo central. Por todo ello, afirma</w:t>
      </w:r>
      <w:r w:rsidR="000144C9">
        <w:t xml:space="preserve">mos </w:t>
      </w:r>
      <w:r>
        <w:t xml:space="preserve">que la composición tiene varias líneas claras pero también presenta cierta ambigüedad o ambivalencia de raigambre manierista. Asimismo, </w:t>
      </w:r>
      <w:r w:rsidR="00C51982">
        <w:t xml:space="preserve">debemos observar el </w:t>
      </w:r>
      <w:r>
        <w:t xml:space="preserve">marco </w:t>
      </w:r>
      <w:r w:rsidR="00C51982">
        <w:t xml:space="preserve">de la pintura, </w:t>
      </w:r>
      <w:proofErr w:type="spellStart"/>
      <w:r w:rsidR="00C51982">
        <w:t>d</w:t>
      </w:r>
      <w:r>
        <w:t>atable</w:t>
      </w:r>
      <w:proofErr w:type="spellEnd"/>
      <w:r>
        <w:t xml:space="preserve"> en el siglo XVII, </w:t>
      </w:r>
      <w:r w:rsidR="00C51982">
        <w:t xml:space="preserve">que </w:t>
      </w:r>
      <w:r>
        <w:t xml:space="preserve">está pintado en </w:t>
      </w:r>
      <w:r>
        <w:lastRenderedPageBreak/>
        <w:t xml:space="preserve">color marrón de matiz encarnado y </w:t>
      </w:r>
      <w:r w:rsidR="00C51982">
        <w:t xml:space="preserve">que </w:t>
      </w:r>
      <w:r>
        <w:t>presenta una fina moldura dorada tallada en forma de hojas y apliques de roleos vegetales, en las esquinas y parte</w:t>
      </w:r>
      <w:r w:rsidR="00C51982">
        <w:t>s</w:t>
      </w:r>
      <w:r>
        <w:t xml:space="preserve"> central</w:t>
      </w:r>
      <w:r w:rsidR="00C51982">
        <w:t>es</w:t>
      </w:r>
      <w:r>
        <w:t>.</w:t>
      </w:r>
    </w:p>
    <w:p w:rsidR="002D33B9" w:rsidRDefault="00E80BAE" w:rsidP="002D33B9">
      <w:pPr>
        <w:pStyle w:val="NormalWeb"/>
        <w:spacing w:after="0" w:line="360" w:lineRule="auto"/>
        <w:ind w:firstLine="708"/>
        <w:jc w:val="both"/>
      </w:pPr>
      <w:r>
        <w:t>La variedad de actitudes de los personajes, las múltiples relaciones compositivas que se establecen entre ellos, la diversidad cromática y el elaborado tratamiento de los diferentes tejidos y de sus pliegues, hacen de esta pintura una obra verdaderamente interesante, cuya calidad final sin embargo es difícil de apreciar, por su mala ubicación y pésimo estado de conservación. Hasta mediados de 2016</w:t>
      </w:r>
      <w:r w:rsidR="00D60B87">
        <w:rPr>
          <w:rStyle w:val="Refdenotaalpie"/>
        </w:rPr>
        <w:footnoteReference w:id="4"/>
      </w:r>
      <w:r>
        <w:t xml:space="preserve"> la obra p</w:t>
      </w:r>
      <w:r w:rsidR="006B2618">
        <w:t>resentaba un aspecto lamentable</w:t>
      </w:r>
      <w:r>
        <w:t>. El lienzo tenía algunas roturas por impacto y desgaste por rozamiento</w:t>
      </w:r>
      <w:r w:rsidR="00C51982">
        <w:t xml:space="preserve">. Lo peor era </w:t>
      </w:r>
      <w:r w:rsidR="004A50B5">
        <w:t xml:space="preserve">el </w:t>
      </w:r>
      <w:r>
        <w:t>aspecto blanquecino y apagado</w:t>
      </w:r>
      <w:r w:rsidR="004A50B5">
        <w:t xml:space="preserve"> que mostraba toda la capa pictórica</w:t>
      </w:r>
      <w:r>
        <w:t>. A pesar de ello, la composición se distinguía con bastante claridad, lo que nos permitió poner en relación este cuadro de Sanlúcar con el de Varsovia</w:t>
      </w:r>
      <w:r w:rsidR="001B4012">
        <w:rPr>
          <w:rStyle w:val="Refdenotaalpie"/>
        </w:rPr>
        <w:footnoteReference w:id="5"/>
      </w:r>
      <w:r>
        <w:t>.</w:t>
      </w:r>
    </w:p>
    <w:p w:rsidR="00E9187A" w:rsidRDefault="009448D9" w:rsidP="00E9187A">
      <w:pPr>
        <w:pStyle w:val="NormalWeb"/>
        <w:spacing w:after="0" w:line="360" w:lineRule="auto"/>
        <w:ind w:firstLine="708"/>
        <w:jc w:val="both"/>
        <w:rPr>
          <w:color w:val="FF0000"/>
        </w:rPr>
      </w:pPr>
      <w:r w:rsidRPr="00CF3A9F">
        <w:t xml:space="preserve">Esta </w:t>
      </w:r>
      <w:r w:rsidR="00E80BAE" w:rsidRPr="00CF3A9F">
        <w:t xml:space="preserve">última </w:t>
      </w:r>
      <w:r w:rsidR="00C51982">
        <w:t xml:space="preserve">se creía </w:t>
      </w:r>
      <w:r w:rsidRPr="00CF3A9F">
        <w:t xml:space="preserve">procedente de la iglesia de los </w:t>
      </w:r>
      <w:r w:rsidR="00E80BAE" w:rsidRPr="00CF3A9F">
        <w:t xml:space="preserve">Carmelitas </w:t>
      </w:r>
      <w:r w:rsidRPr="00CF3A9F">
        <w:t xml:space="preserve">Calzados </w:t>
      </w:r>
      <w:r w:rsidR="00E80BAE" w:rsidRPr="00CF3A9F">
        <w:t>de Amberes</w:t>
      </w:r>
      <w:r w:rsidR="00822BEA" w:rsidRPr="00CF3A9F">
        <w:t xml:space="preserve">, concretamente </w:t>
      </w:r>
      <w:r w:rsidR="00C51982">
        <w:t>d</w:t>
      </w:r>
      <w:r w:rsidRPr="00CF3A9F">
        <w:t xml:space="preserve">el altar funerario de Magdalena van </w:t>
      </w:r>
      <w:proofErr w:type="spellStart"/>
      <w:r w:rsidRPr="00CF3A9F">
        <w:t>Woonsel</w:t>
      </w:r>
      <w:proofErr w:type="spellEnd"/>
      <w:r w:rsidRPr="00CF3A9F">
        <w:t xml:space="preserve">, realizado a instancias de su marido, </w:t>
      </w:r>
      <w:proofErr w:type="spellStart"/>
      <w:r w:rsidRPr="00CF3A9F">
        <w:t>Aegidius</w:t>
      </w:r>
      <w:proofErr w:type="spellEnd"/>
      <w:r w:rsidRPr="00CF3A9F">
        <w:t xml:space="preserve"> </w:t>
      </w:r>
      <w:proofErr w:type="spellStart"/>
      <w:r w:rsidRPr="00CF3A9F">
        <w:t>Fabri</w:t>
      </w:r>
      <w:proofErr w:type="spellEnd"/>
      <w:r w:rsidR="00822BEA" w:rsidRPr="00CF3A9F">
        <w:t xml:space="preserve">. En consecuencia la obra se </w:t>
      </w:r>
      <w:r w:rsidR="00C51982">
        <w:t xml:space="preserve">había </w:t>
      </w:r>
      <w:r w:rsidR="00822BEA" w:rsidRPr="00CF3A9F">
        <w:t>data</w:t>
      </w:r>
      <w:r w:rsidR="00C51982">
        <w:t>do</w:t>
      </w:r>
      <w:r w:rsidR="00822BEA" w:rsidRPr="00CF3A9F">
        <w:t xml:space="preserve"> hacia 1622 y el </w:t>
      </w:r>
      <w:r w:rsidRPr="00CF3A9F">
        <w:t xml:space="preserve">protagonismo que en la </w:t>
      </w:r>
      <w:r w:rsidR="00822BEA" w:rsidRPr="00CF3A9F">
        <w:t xml:space="preserve">composición </w:t>
      </w:r>
      <w:r w:rsidRPr="00CF3A9F">
        <w:t>tiene la Magdalena</w:t>
      </w:r>
      <w:r w:rsidR="00822BEA" w:rsidRPr="00CF3A9F">
        <w:t xml:space="preserve"> </w:t>
      </w:r>
      <w:r w:rsidR="002D3B06">
        <w:t xml:space="preserve">se explicaba por </w:t>
      </w:r>
      <w:r w:rsidR="00822BEA" w:rsidRPr="00CF3A9F">
        <w:t xml:space="preserve">ser </w:t>
      </w:r>
      <w:r w:rsidRPr="00CF3A9F">
        <w:t xml:space="preserve">la santa patrona de la </w:t>
      </w:r>
      <w:r w:rsidR="00822BEA" w:rsidRPr="00CF3A9F">
        <w:t xml:space="preserve">señora van </w:t>
      </w:r>
      <w:proofErr w:type="spellStart"/>
      <w:r w:rsidR="00822BEA" w:rsidRPr="00CF3A9F">
        <w:t>Woonsel</w:t>
      </w:r>
      <w:proofErr w:type="spellEnd"/>
      <w:r w:rsidR="00822BEA" w:rsidRPr="00CF3A9F">
        <w:t xml:space="preserve"> (</w:t>
      </w:r>
      <w:proofErr w:type="spellStart"/>
      <w:r w:rsidR="00822BEA" w:rsidRPr="00CF3A9F">
        <w:t>Benesz</w:t>
      </w:r>
      <w:proofErr w:type="spellEnd"/>
      <w:r w:rsidR="00822BEA" w:rsidRPr="00CF3A9F">
        <w:t>, 2001: 200-210)</w:t>
      </w:r>
      <w:r w:rsidRPr="00CF3A9F">
        <w:t>.</w:t>
      </w:r>
      <w:r w:rsidR="00822BEA" w:rsidRPr="00CF3A9F">
        <w:t xml:space="preserve"> </w:t>
      </w:r>
      <w:r w:rsidRPr="00CF3A9F">
        <w:t xml:space="preserve">Sin embargo, </w:t>
      </w:r>
      <w:r w:rsidR="00822BEA" w:rsidRPr="00CF3A9F">
        <w:t xml:space="preserve">en 2007 </w:t>
      </w:r>
      <w:proofErr w:type="spellStart"/>
      <w:r w:rsidR="00822BEA" w:rsidRPr="00CF3A9F">
        <w:t>Joost</w:t>
      </w:r>
      <w:proofErr w:type="spellEnd"/>
      <w:r w:rsidR="00822BEA" w:rsidRPr="00CF3A9F">
        <w:t xml:space="preserve"> </w:t>
      </w:r>
      <w:proofErr w:type="spellStart"/>
      <w:r w:rsidR="00822BEA" w:rsidRPr="00CF3A9F">
        <w:t>Vander</w:t>
      </w:r>
      <w:proofErr w:type="spellEnd"/>
      <w:r w:rsidR="00822BEA" w:rsidRPr="00CF3A9F">
        <w:t xml:space="preserve"> </w:t>
      </w:r>
      <w:proofErr w:type="spellStart"/>
      <w:r w:rsidR="00822BEA" w:rsidRPr="00CF3A9F">
        <w:t>Auwera</w:t>
      </w:r>
      <w:proofErr w:type="spellEnd"/>
      <w:r w:rsidR="00822BEA" w:rsidRPr="00CF3A9F">
        <w:t xml:space="preserve"> descubrió que el </w:t>
      </w:r>
      <w:r w:rsidR="00822BEA" w:rsidRPr="00CF3A9F">
        <w:rPr>
          <w:i/>
        </w:rPr>
        <w:t>Entierro de Cristo</w:t>
      </w:r>
      <w:r w:rsidR="00822BEA" w:rsidRPr="00CF3A9F">
        <w:t xml:space="preserve"> procedent</w:t>
      </w:r>
      <w:r w:rsidR="002D3B06">
        <w:t xml:space="preserve">e de los Carmelitas de Amberes realmente </w:t>
      </w:r>
      <w:r w:rsidR="00822BEA" w:rsidRPr="00CF3A9F">
        <w:t xml:space="preserve">se encuentra en Iglesia de San Pedro de </w:t>
      </w:r>
      <w:proofErr w:type="spellStart"/>
      <w:r w:rsidR="00822BEA" w:rsidRPr="00CF3A9F">
        <w:t>Denderwindeke</w:t>
      </w:r>
      <w:proofErr w:type="spellEnd"/>
      <w:r w:rsidR="00822BEA" w:rsidRPr="00CF3A9F">
        <w:t xml:space="preserve"> (localidad de </w:t>
      </w:r>
      <w:proofErr w:type="spellStart"/>
      <w:r w:rsidR="00822BEA" w:rsidRPr="00CF3A9F">
        <w:t>Ninoove</w:t>
      </w:r>
      <w:proofErr w:type="spellEnd"/>
      <w:r w:rsidR="00822BEA" w:rsidRPr="00CF3A9F">
        <w:t xml:space="preserve">), lo que encaja mucho mejor con </w:t>
      </w:r>
      <w:r w:rsidR="002D3B06">
        <w:t xml:space="preserve">el estilo de </w:t>
      </w:r>
      <w:r w:rsidR="00822BEA" w:rsidRPr="00CF3A9F">
        <w:t xml:space="preserve">su </w:t>
      </w:r>
      <w:proofErr w:type="spellStart"/>
      <w:r w:rsidR="00822BEA" w:rsidRPr="00CF3A9F">
        <w:rPr>
          <w:i/>
        </w:rPr>
        <w:t>pendant</w:t>
      </w:r>
      <w:proofErr w:type="spellEnd"/>
      <w:r w:rsidR="00822BEA" w:rsidRPr="00CF3A9F">
        <w:t>, la</w:t>
      </w:r>
      <w:r w:rsidR="00822BEA" w:rsidRPr="00CF3A9F">
        <w:rPr>
          <w:i/>
        </w:rPr>
        <w:t xml:space="preserve"> Virgo inter </w:t>
      </w:r>
      <w:proofErr w:type="spellStart"/>
      <w:r w:rsidR="00822BEA" w:rsidRPr="00CF3A9F">
        <w:rPr>
          <w:i/>
        </w:rPr>
        <w:t>Virgines</w:t>
      </w:r>
      <w:proofErr w:type="spellEnd"/>
      <w:r w:rsidR="00822BEA" w:rsidRPr="00CF3A9F">
        <w:t xml:space="preserve"> conservada </w:t>
      </w:r>
      <w:r w:rsidR="00A17CDB" w:rsidRPr="00CF3A9F">
        <w:t xml:space="preserve">hoy </w:t>
      </w:r>
      <w:r w:rsidR="00822BEA" w:rsidRPr="00CF3A9F">
        <w:t>en la Catedral de Lyon</w:t>
      </w:r>
      <w:r w:rsidR="00E6452C">
        <w:t>.</w:t>
      </w:r>
      <w:r w:rsidR="006A2CE8">
        <w:t xml:space="preserve"> No obstante, aunque la procedencia del original de Varsovia se desconoce, </w:t>
      </w:r>
      <w:r w:rsidR="00A17CDB">
        <w:t xml:space="preserve">el </w:t>
      </w:r>
      <w:r w:rsidR="006A2CE8">
        <w:t xml:space="preserve">estilo y </w:t>
      </w:r>
      <w:r w:rsidR="00A17CDB">
        <w:t xml:space="preserve">los </w:t>
      </w:r>
      <w:r w:rsidR="006A2CE8">
        <w:t xml:space="preserve">tipos humanos están muy cerca de la </w:t>
      </w:r>
      <w:r w:rsidR="006A2CE8" w:rsidRPr="00A17CDB">
        <w:rPr>
          <w:i/>
        </w:rPr>
        <w:t>Crucifixión</w:t>
      </w:r>
      <w:r w:rsidR="006A2CE8" w:rsidRPr="006A2CE8">
        <w:t xml:space="preserve"> del Museo de Bellas Artes de </w:t>
      </w:r>
      <w:proofErr w:type="spellStart"/>
      <w:r w:rsidR="006A2CE8" w:rsidRPr="006A2CE8">
        <w:t>Valenciennes</w:t>
      </w:r>
      <w:proofErr w:type="spellEnd"/>
      <w:r w:rsidR="006A2CE8" w:rsidRPr="006A2CE8">
        <w:rPr>
          <w:rStyle w:val="Refdenotaalpie"/>
        </w:rPr>
        <w:footnoteReference w:id="6"/>
      </w:r>
      <w:r w:rsidR="006A2CE8" w:rsidRPr="006A2CE8">
        <w:t xml:space="preserve">, datado hacia </w:t>
      </w:r>
      <w:r w:rsidR="00822BEA" w:rsidRPr="006A2CE8">
        <w:t xml:space="preserve">1624 </w:t>
      </w:r>
      <w:r w:rsidR="00E6452C" w:rsidRPr="006A2CE8">
        <w:t>(AAVV, 2016: ficha nº 338)</w:t>
      </w:r>
      <w:r w:rsidR="006A2CE8" w:rsidRPr="006A2CE8">
        <w:t xml:space="preserve">, fecha en la podemos </w:t>
      </w:r>
      <w:r w:rsidR="00A17CDB">
        <w:t xml:space="preserve">fechar </w:t>
      </w:r>
      <w:r w:rsidR="006A2CE8" w:rsidRPr="006A2CE8">
        <w:t xml:space="preserve">la </w:t>
      </w:r>
      <w:r w:rsidR="006A2CE8" w:rsidRPr="006A2CE8">
        <w:rPr>
          <w:i/>
        </w:rPr>
        <w:t>Lamentación</w:t>
      </w:r>
      <w:r w:rsidR="006A2CE8" w:rsidRPr="006A2CE8">
        <w:t xml:space="preserve"> de Varsovia</w:t>
      </w:r>
      <w:r w:rsidR="00E6452C" w:rsidRPr="006A2CE8">
        <w:t>.</w:t>
      </w:r>
    </w:p>
    <w:p w:rsidR="00E80BAE" w:rsidRPr="00E9187A" w:rsidRDefault="00E80BAE" w:rsidP="00E9187A">
      <w:pPr>
        <w:pStyle w:val="NormalWeb"/>
        <w:spacing w:after="0" w:line="360" w:lineRule="auto"/>
        <w:ind w:firstLine="708"/>
        <w:jc w:val="both"/>
        <w:rPr>
          <w:color w:val="FF0000"/>
        </w:rPr>
      </w:pPr>
      <w:proofErr w:type="spellStart"/>
      <w:r>
        <w:t>Janssens</w:t>
      </w:r>
      <w:proofErr w:type="spellEnd"/>
      <w:r>
        <w:t xml:space="preserve"> fue un pintor activo en </w:t>
      </w:r>
      <w:r w:rsidR="00A17CDB">
        <w:t>Amberes</w:t>
      </w:r>
      <w:r>
        <w:t xml:space="preserve">, posiblemente formado con </w:t>
      </w:r>
      <w:proofErr w:type="spellStart"/>
      <w:r>
        <w:t>Jan</w:t>
      </w:r>
      <w:proofErr w:type="spellEnd"/>
      <w:r>
        <w:t xml:space="preserve"> </w:t>
      </w:r>
      <w:proofErr w:type="spellStart"/>
      <w:r>
        <w:t>Snellinck</w:t>
      </w:r>
      <w:proofErr w:type="spellEnd"/>
      <w:r>
        <w:t xml:space="preserve">. Viajó a Italia, donde entró en contacto con el </w:t>
      </w:r>
      <w:proofErr w:type="spellStart"/>
      <w:r>
        <w:t>caravaggismo</w:t>
      </w:r>
      <w:proofErr w:type="spellEnd"/>
      <w:r>
        <w:t xml:space="preserve">, incorporando el lenguaje de esta corriente a su formación inicial, de raíz manierista. En 1602 ya pertenecía al Gremio de San Lucas de Amberes, del que se convertiría en decano en 1607, llegando a ser uno de los pintores más conocidos de la ciudad, para luego caer bajo la influencia </w:t>
      </w:r>
      <w:r>
        <w:lastRenderedPageBreak/>
        <w:t xml:space="preserve">de Rubens </w:t>
      </w:r>
      <w:r w:rsidR="00A47F5C">
        <w:t>(</w:t>
      </w:r>
      <w:r w:rsidR="00A47F5C" w:rsidRPr="00A47F5C">
        <w:rPr>
          <w:color w:val="000000"/>
        </w:rPr>
        <w:t>Müller, 1971</w:t>
      </w:r>
      <w:r w:rsidR="00A47F5C">
        <w:rPr>
          <w:color w:val="000000"/>
        </w:rPr>
        <w:t xml:space="preserve">: </w:t>
      </w:r>
      <w:r w:rsidR="00A47F5C" w:rsidRPr="00A47F5C">
        <w:rPr>
          <w:color w:val="000000"/>
        </w:rPr>
        <w:t>208-303</w:t>
      </w:r>
      <w:r w:rsidR="00A47F5C">
        <w:rPr>
          <w:color w:val="000000"/>
        </w:rPr>
        <w:t>)</w:t>
      </w:r>
      <w:r>
        <w:t xml:space="preserve">. En los cuadros de Varsovia y de Sanlúcar todavía observamos el influjo del naturalismo </w:t>
      </w:r>
      <w:proofErr w:type="spellStart"/>
      <w:r>
        <w:t>caravaggista</w:t>
      </w:r>
      <w:proofErr w:type="spellEnd"/>
      <w:r>
        <w:t xml:space="preserve">, en los gestos de San Juan, </w:t>
      </w:r>
      <w:proofErr w:type="spellStart"/>
      <w:r>
        <w:t>Arimatea</w:t>
      </w:r>
      <w:proofErr w:type="spellEnd"/>
      <w:r>
        <w:t xml:space="preserve"> y la santa mujer, así como en el fondo, profundamente negro. </w:t>
      </w:r>
    </w:p>
    <w:p w:rsidR="00E80BAE" w:rsidRDefault="00E80BAE" w:rsidP="00E80BAE">
      <w:pPr>
        <w:pStyle w:val="NormalWeb"/>
        <w:spacing w:after="0" w:line="360" w:lineRule="auto"/>
        <w:ind w:firstLine="708"/>
        <w:jc w:val="both"/>
      </w:pPr>
      <w:r>
        <w:t xml:space="preserve">Si comparamos la pintura de Sanlúcar con la de Varsovia, apenas se perciben ligeras diferencias. El grupo de figuras </w:t>
      </w:r>
      <w:r w:rsidR="00204D6B">
        <w:t xml:space="preserve">es </w:t>
      </w:r>
      <w:r>
        <w:t xml:space="preserve">exactamente el mismo y la única desigualdad está en un detalle mínimo. Se trata del clavo que aparece junto a la palangana, que está en Varsovia pero no en Sanlúcar. Sin embargo, la principal desigualdad se observa en los márgenes de ambas pinturas, que en Sanlúcar son más amplios que en Varsovia, tanto a izquierda como a derecha. Esta mayor amplitud es especialmente notable en el margen derecho, lo que permite que la figura de la Virgen se desarrolle por completo y añade en la esquina superior derecha una gran superficie al fondo, en la que se aprecia el sepulcro abierto y un sucinto fondo vegetal. Por el contrario, el margen superior en Sanlúcar es ligeramente más estrecho que en Varsovia. Lo cierto es que la pintura conservada en Polonia mide 155 x 180,5 cm. mientras que la española tiene aproximadamente 150 x 230 </w:t>
      </w:r>
      <w:r>
        <w:rPr>
          <w:color w:val="000000"/>
        </w:rPr>
        <w:t>cm</w:t>
      </w:r>
      <w:r>
        <w:t xml:space="preserve">. </w:t>
      </w:r>
    </w:p>
    <w:p w:rsidR="00E80BAE" w:rsidRDefault="00E80BAE" w:rsidP="00E80BAE">
      <w:pPr>
        <w:pStyle w:val="NormalWeb"/>
        <w:spacing w:after="0" w:line="360" w:lineRule="auto"/>
        <w:ind w:firstLine="708"/>
        <w:jc w:val="both"/>
      </w:pPr>
      <w:r>
        <w:t>Afortunadamente disponemos de un estudio técnico de la pintura de Varsovia</w:t>
      </w:r>
      <w:r w:rsidR="00A47F5C">
        <w:t xml:space="preserve"> (</w:t>
      </w:r>
      <w:proofErr w:type="spellStart"/>
      <w:r w:rsidR="00A47F5C" w:rsidRPr="001B4012">
        <w:t>Janczarski</w:t>
      </w:r>
      <w:proofErr w:type="spellEnd"/>
      <w:r w:rsidR="00A47F5C" w:rsidRPr="001B4012">
        <w:t xml:space="preserve">, </w:t>
      </w:r>
      <w:r w:rsidR="00A47F5C" w:rsidRPr="001B4012">
        <w:rPr>
          <w:color w:val="000000"/>
        </w:rPr>
        <w:t>2001</w:t>
      </w:r>
      <w:r w:rsidR="00A47F5C">
        <w:rPr>
          <w:color w:val="000000"/>
        </w:rPr>
        <w:t xml:space="preserve">: </w:t>
      </w:r>
      <w:r w:rsidR="00A47F5C" w:rsidRPr="001B4012">
        <w:t>211-216</w:t>
      </w:r>
      <w:r w:rsidR="00A47F5C">
        <w:t>)</w:t>
      </w:r>
      <w:r>
        <w:t xml:space="preserve">, realizado durante la restauración a la que fue sometida. Gracias a ello conocemos muchos aspectos del proceso creativo de la obra. En primer lugar, </w:t>
      </w:r>
      <w:r w:rsidR="003B7912">
        <w:t xml:space="preserve">sabemos </w:t>
      </w:r>
      <w:r>
        <w:t xml:space="preserve">que los laterales fueron recortados en algún momento. Del mismo modo, que el cuadro polaco tiene un pequeño añadido en la zona superior. Ambas modificaciones en el formato encajan con lo que observamos en Sanlúcar, si bien ahora sabemos que la pintura de Varsovia está mutilada </w:t>
      </w:r>
      <w:r w:rsidR="00D135A0">
        <w:t xml:space="preserve">principalmente </w:t>
      </w:r>
      <w:r>
        <w:t>por el lado derecho, no por el izquierdo, como habían supuesto sus restauradores.</w:t>
      </w:r>
      <w:r w:rsidR="00A17CDB">
        <w:t xml:space="preserve"> </w:t>
      </w:r>
    </w:p>
    <w:p w:rsidR="00E80BAE" w:rsidRDefault="00E80BAE" w:rsidP="00E80BAE">
      <w:pPr>
        <w:pStyle w:val="NormalWeb"/>
        <w:spacing w:after="0" w:line="360" w:lineRule="auto"/>
        <w:ind w:firstLine="708"/>
        <w:jc w:val="both"/>
      </w:pPr>
      <w:r>
        <w:t xml:space="preserve">El estudio técnico también ha descubierto bajo la superficie de la obra de Varsovia algunos arrepentimientos de </w:t>
      </w:r>
      <w:proofErr w:type="spellStart"/>
      <w:r>
        <w:t>Janssens</w:t>
      </w:r>
      <w:proofErr w:type="spellEnd"/>
      <w:r>
        <w:t xml:space="preserve">, en concreto en la mano y en la cabeza de </w:t>
      </w:r>
      <w:proofErr w:type="spellStart"/>
      <w:r>
        <w:t>Arimatea</w:t>
      </w:r>
      <w:proofErr w:type="spellEnd"/>
      <w:r>
        <w:rPr>
          <w:b/>
          <w:bCs/>
        </w:rPr>
        <w:t xml:space="preserve">. </w:t>
      </w:r>
      <w:r>
        <w:t>También que se trata de un cuadro pintado enteramente al temple y no al óleo, siendo esto último lo habitual en la pintura flamenca del siglo XVII. Esta peculiaridad explica la intensidad del colorido de la obra de Varsovia, que no se percibe en Sanlúcar. El estudio</w:t>
      </w:r>
      <w:r w:rsidR="00D135A0">
        <w:t xml:space="preserve">, </w:t>
      </w:r>
      <w:r>
        <w:t>además, ha desvelado una gran unidad y calidad en la ejecución, que sugiere una participación casi exclusiva del maestro, sin el concurso de ayudantes. Lo cierto es que pintar al temple sobre tela</w:t>
      </w:r>
      <w:r w:rsidR="00D135A0">
        <w:t xml:space="preserve"> </w:t>
      </w:r>
      <w:r>
        <w:t xml:space="preserve">requiere que se aplique una preparación muy resistente al agua </w:t>
      </w:r>
      <w:r>
        <w:lastRenderedPageBreak/>
        <w:t xml:space="preserve">y demanda del pintor un gran virtuosismo, pues reclama una ejecución </w:t>
      </w:r>
      <w:proofErr w:type="spellStart"/>
      <w:r>
        <w:rPr>
          <w:i/>
          <w:iCs/>
        </w:rPr>
        <w:t>alla</w:t>
      </w:r>
      <w:proofErr w:type="spellEnd"/>
      <w:r>
        <w:rPr>
          <w:i/>
          <w:iCs/>
        </w:rPr>
        <w:t xml:space="preserve"> prima</w:t>
      </w:r>
      <w:r w:rsidR="0015470E">
        <w:rPr>
          <w:iCs/>
        </w:rPr>
        <w:t>,</w:t>
      </w:r>
      <w:r>
        <w:t xml:space="preserve"> </w:t>
      </w:r>
      <w:r w:rsidR="0015470E">
        <w:t xml:space="preserve">mucho </w:t>
      </w:r>
      <w:r>
        <w:t xml:space="preserve">menos susceptible de retoque que el óleo. </w:t>
      </w:r>
    </w:p>
    <w:p w:rsidR="005C59EC" w:rsidRDefault="004A63F4" w:rsidP="00E80BAE">
      <w:pPr>
        <w:pStyle w:val="NormalWeb"/>
        <w:spacing w:after="0" w:line="360" w:lineRule="auto"/>
        <w:ind w:firstLine="708"/>
        <w:jc w:val="both"/>
      </w:pPr>
      <w:r>
        <w:t xml:space="preserve">Todo lo anterior nos lleva a creer </w:t>
      </w:r>
      <w:r w:rsidR="005C59EC">
        <w:t xml:space="preserve">que la </w:t>
      </w:r>
      <w:r w:rsidR="005C59EC">
        <w:rPr>
          <w:i/>
          <w:iCs/>
        </w:rPr>
        <w:t>Lamentación</w:t>
      </w:r>
      <w:r w:rsidR="005C59EC">
        <w:t xml:space="preserve"> de Sanlúcar </w:t>
      </w:r>
      <w:r>
        <w:t xml:space="preserve">es </w:t>
      </w:r>
      <w:r w:rsidR="005C59EC">
        <w:t xml:space="preserve">una réplica realizada en el propio taller de </w:t>
      </w:r>
      <w:proofErr w:type="spellStart"/>
      <w:r w:rsidR="005C59EC">
        <w:t>Janssens</w:t>
      </w:r>
      <w:proofErr w:type="spellEnd"/>
      <w:r w:rsidR="005C59EC">
        <w:t>.</w:t>
      </w:r>
      <w:r>
        <w:t xml:space="preserve"> </w:t>
      </w:r>
      <w:r w:rsidR="00E80BAE">
        <w:t xml:space="preserve">La dificultad técnica </w:t>
      </w:r>
      <w:r w:rsidR="0015470E">
        <w:t xml:space="preserve">del temple </w:t>
      </w:r>
      <w:r w:rsidR="00E80BAE">
        <w:t xml:space="preserve">sobre lienzo debió determinar que se eligiera el óleo para realizar una segunda versión de la obra. En ella presuponemos una mayor participación de los </w:t>
      </w:r>
      <w:r w:rsidR="00C35F51">
        <w:t>ayudantes</w:t>
      </w:r>
      <w:r w:rsidR="00E80BAE">
        <w:t>, que pudieron usar un calco del original de Varsovia, lo cual era una práctica bastante habitual en los obradores. Además, los arrepentimientos que subyacen en el cuadro polaco también indicarían que se trata de una primera versión, pues la pintura de Sanlúcar es idéntica en superficie a la polaca</w:t>
      </w:r>
      <w:r w:rsidR="001B4012">
        <w:rPr>
          <w:rStyle w:val="Refdenotaalpie"/>
        </w:rPr>
        <w:footnoteReference w:id="7"/>
      </w:r>
      <w:r w:rsidR="00E80BAE">
        <w:t xml:space="preserve">. En consecuencia, la de Sanlúcar no parece una simple del modelo de </w:t>
      </w:r>
      <w:proofErr w:type="spellStart"/>
      <w:r w:rsidR="00E80BAE">
        <w:t>Janssens</w:t>
      </w:r>
      <w:proofErr w:type="spellEnd"/>
      <w:r w:rsidR="00E80BAE">
        <w:t>, sino que se trataría de un “</w:t>
      </w:r>
      <w:proofErr w:type="spellStart"/>
      <w:r w:rsidR="00E80BAE">
        <w:t>Janssen</w:t>
      </w:r>
      <w:bookmarkStart w:id="0" w:name="_GoBack"/>
      <w:bookmarkEnd w:id="0"/>
      <w:r w:rsidR="00E80BAE">
        <w:t>s</w:t>
      </w:r>
      <w:proofErr w:type="spellEnd"/>
      <w:r w:rsidR="00E80BAE">
        <w:t xml:space="preserve"> de taller”, que debemos fechar entre 162</w:t>
      </w:r>
      <w:r w:rsidR="007522B8">
        <w:t>4</w:t>
      </w:r>
      <w:r w:rsidR="00E80BAE">
        <w:t xml:space="preserve"> y 1632, año </w:t>
      </w:r>
      <w:r w:rsidR="007522B8">
        <w:t xml:space="preserve">aproximado </w:t>
      </w:r>
      <w:r w:rsidR="00E80BAE">
        <w:t xml:space="preserve">de </w:t>
      </w:r>
      <w:r w:rsidR="007522B8">
        <w:t xml:space="preserve">la </w:t>
      </w:r>
      <w:r w:rsidR="00E80BAE">
        <w:t xml:space="preserve">creación del original y de la muerte del artista, respectivamente. </w:t>
      </w:r>
    </w:p>
    <w:p w:rsidR="00E80BAE" w:rsidRDefault="00E80BAE" w:rsidP="00E80BAE">
      <w:pPr>
        <w:pStyle w:val="NormalWeb"/>
        <w:spacing w:after="0" w:line="360" w:lineRule="auto"/>
        <w:ind w:firstLine="708"/>
        <w:jc w:val="both"/>
      </w:pPr>
      <w:r>
        <w:t xml:space="preserve">Para finalizar, </w:t>
      </w:r>
      <w:r w:rsidR="000C4509">
        <w:t xml:space="preserve">ignoramos </w:t>
      </w:r>
      <w:r>
        <w:t>de dónde procede la pintura de Sanlúcar</w:t>
      </w:r>
      <w:r w:rsidR="000C4509">
        <w:t xml:space="preserve">, así como cuándo y cómo </w:t>
      </w:r>
      <w:r>
        <w:t xml:space="preserve">llegó a España. Puede que dichas incógnitas no se despejen nunca, pero queda de manifiesto, la importancia que </w:t>
      </w:r>
      <w:r w:rsidR="007E5A7B">
        <w:t xml:space="preserve">tiene </w:t>
      </w:r>
      <w:r w:rsidR="000C4509">
        <w:t xml:space="preserve">el </w:t>
      </w:r>
      <w:r>
        <w:t xml:space="preserve">estudio comparativo </w:t>
      </w:r>
      <w:r w:rsidR="000C4509">
        <w:t xml:space="preserve">de las copias, que en este caso nos permite conocer </w:t>
      </w:r>
      <w:r>
        <w:t xml:space="preserve">el estado primigenio de </w:t>
      </w:r>
      <w:r w:rsidR="000C4509">
        <w:t xml:space="preserve">un </w:t>
      </w:r>
      <w:r>
        <w:t xml:space="preserve">original que </w:t>
      </w:r>
      <w:r w:rsidR="007E5A7B">
        <w:t xml:space="preserve">tiene </w:t>
      </w:r>
      <w:r>
        <w:t xml:space="preserve">graves alteraciones. </w:t>
      </w:r>
      <w:r w:rsidR="008435D3">
        <w:t>Por ello, e</w:t>
      </w:r>
      <w:r>
        <w:t xml:space="preserve">sta </w:t>
      </w:r>
      <w:r w:rsidR="008435D3">
        <w:t xml:space="preserve">nueva </w:t>
      </w:r>
      <w:r>
        <w:t xml:space="preserve">pintura </w:t>
      </w:r>
      <w:r w:rsidR="008435D3">
        <w:t xml:space="preserve">de </w:t>
      </w:r>
      <w:proofErr w:type="spellStart"/>
      <w:r w:rsidR="008435D3">
        <w:t>Janssens</w:t>
      </w:r>
      <w:proofErr w:type="spellEnd"/>
      <w:r w:rsidR="008435D3">
        <w:t xml:space="preserve"> </w:t>
      </w:r>
      <w:r>
        <w:t>reclama una rigurosa restauración científica.</w:t>
      </w:r>
    </w:p>
    <w:p w:rsidR="00CF3A9F" w:rsidRDefault="00E80BAE" w:rsidP="00E80BAE">
      <w:pPr>
        <w:pStyle w:val="NormalWeb"/>
        <w:spacing w:after="0" w:line="360" w:lineRule="auto"/>
        <w:jc w:val="both"/>
        <w:rPr>
          <w:b/>
          <w:bCs/>
          <w:color w:val="000000"/>
          <w:lang w:val="en-US"/>
        </w:rPr>
      </w:pPr>
      <w:proofErr w:type="spellStart"/>
      <w:r w:rsidRPr="00E80BAE">
        <w:rPr>
          <w:b/>
          <w:bCs/>
          <w:color w:val="000000"/>
          <w:lang w:val="en-US"/>
        </w:rPr>
        <w:t>Bibliografía</w:t>
      </w:r>
      <w:proofErr w:type="spellEnd"/>
      <w:r w:rsidRPr="00E80BAE">
        <w:rPr>
          <w:b/>
          <w:bCs/>
          <w:color w:val="000000"/>
          <w:lang w:val="en-US"/>
        </w:rPr>
        <w:t xml:space="preserve">: </w:t>
      </w:r>
    </w:p>
    <w:p w:rsidR="00D5077A" w:rsidRDefault="00CF3A9F" w:rsidP="00D5077A">
      <w:pPr>
        <w:pStyle w:val="NormalWeb"/>
        <w:spacing w:after="0" w:line="360" w:lineRule="auto"/>
        <w:jc w:val="both"/>
        <w:rPr>
          <w:lang w:val="en-US"/>
        </w:rPr>
      </w:pPr>
      <w:r w:rsidRPr="00CF3A9F">
        <w:rPr>
          <w:lang w:val="en-US"/>
        </w:rPr>
        <w:t xml:space="preserve">AAVV, </w:t>
      </w:r>
      <w:r w:rsidRPr="00CF3A9F">
        <w:rPr>
          <w:i/>
          <w:lang w:val="en-US"/>
        </w:rPr>
        <w:t xml:space="preserve">Early Netherlandish, Dutch, Flemish and Belgian Paintings 1494-1983 in the Collections of the National Museum in Warsaw and the Palace at </w:t>
      </w:r>
      <w:proofErr w:type="spellStart"/>
      <w:r w:rsidRPr="00CF3A9F">
        <w:rPr>
          <w:i/>
          <w:lang w:val="en-US"/>
        </w:rPr>
        <w:t>Nieborów</w:t>
      </w:r>
      <w:proofErr w:type="spellEnd"/>
      <w:r w:rsidRPr="00CF3A9F">
        <w:rPr>
          <w:i/>
          <w:lang w:val="en-US"/>
        </w:rPr>
        <w:t>. Complete Illustrated Summary Catalogue</w:t>
      </w:r>
      <w:r w:rsidRPr="00CF3A9F">
        <w:rPr>
          <w:lang w:val="en-US"/>
        </w:rPr>
        <w:t xml:space="preserve">, </w:t>
      </w:r>
      <w:proofErr w:type="spellStart"/>
      <w:r w:rsidRPr="00CF3A9F">
        <w:rPr>
          <w:lang w:val="en-US"/>
        </w:rPr>
        <w:t>Varsovia</w:t>
      </w:r>
      <w:proofErr w:type="spellEnd"/>
      <w:r w:rsidRPr="00CF3A9F">
        <w:rPr>
          <w:lang w:val="en-US"/>
        </w:rPr>
        <w:t xml:space="preserve">, 2016. </w:t>
      </w:r>
    </w:p>
    <w:p w:rsidR="00B83B72" w:rsidRPr="00D5077A" w:rsidRDefault="00E80BAE" w:rsidP="00D5077A">
      <w:pPr>
        <w:pStyle w:val="NormalWeb"/>
        <w:spacing w:after="0" w:line="360" w:lineRule="auto"/>
        <w:jc w:val="both"/>
        <w:rPr>
          <w:b/>
          <w:bCs/>
          <w:lang w:val="en-US"/>
        </w:rPr>
      </w:pPr>
      <w:r w:rsidRPr="00E80BAE">
        <w:rPr>
          <w:color w:val="000000"/>
          <w:lang w:val="en-US"/>
        </w:rPr>
        <w:t>BENESZ, Hanna</w:t>
      </w:r>
      <w:r w:rsidR="00712D07">
        <w:rPr>
          <w:color w:val="000000"/>
          <w:lang w:val="en-US"/>
        </w:rPr>
        <w:t xml:space="preserve">, </w:t>
      </w:r>
      <w:r w:rsidRPr="00E80BAE">
        <w:rPr>
          <w:color w:val="000000"/>
          <w:lang w:val="en-US"/>
        </w:rPr>
        <w:t xml:space="preserve">“A painting in the National Museum in Warsaw identified as the Entombment by Abraham </w:t>
      </w:r>
      <w:proofErr w:type="spellStart"/>
      <w:r w:rsidRPr="00E80BAE">
        <w:rPr>
          <w:color w:val="000000"/>
          <w:lang w:val="en-US"/>
        </w:rPr>
        <w:t>Janssens</w:t>
      </w:r>
      <w:proofErr w:type="spellEnd"/>
      <w:r w:rsidRPr="00E80BAE">
        <w:rPr>
          <w:color w:val="000000"/>
          <w:lang w:val="en-US"/>
        </w:rPr>
        <w:t xml:space="preserve"> from the Church of the </w:t>
      </w:r>
      <w:proofErr w:type="spellStart"/>
      <w:r w:rsidRPr="00E80BAE">
        <w:rPr>
          <w:color w:val="000000"/>
          <w:lang w:val="en-US"/>
        </w:rPr>
        <w:t>Calced</w:t>
      </w:r>
      <w:proofErr w:type="spellEnd"/>
      <w:r w:rsidRPr="00E80BAE">
        <w:rPr>
          <w:color w:val="000000"/>
          <w:lang w:val="en-US"/>
        </w:rPr>
        <w:t xml:space="preserve"> Carmelites in Antwerp”, </w:t>
      </w:r>
      <w:r w:rsidRPr="00E80BAE">
        <w:rPr>
          <w:i/>
          <w:iCs/>
          <w:color w:val="000000"/>
          <w:lang w:val="en-US"/>
        </w:rPr>
        <w:t>Oud Holland</w:t>
      </w:r>
      <w:r w:rsidRPr="00E80BAE">
        <w:rPr>
          <w:color w:val="000000"/>
          <w:lang w:val="en-US"/>
        </w:rPr>
        <w:t>, vol. 115, nº 3-4, 2001-2002, pp. 200-210.</w:t>
      </w:r>
    </w:p>
    <w:p w:rsidR="00E80BAE" w:rsidRPr="00E80BAE" w:rsidRDefault="00E80BAE" w:rsidP="00E80BAE">
      <w:pPr>
        <w:pStyle w:val="sdfootnote"/>
        <w:spacing w:line="360" w:lineRule="auto"/>
        <w:ind w:left="0" w:firstLine="0"/>
        <w:jc w:val="both"/>
        <w:rPr>
          <w:lang w:val="en-US"/>
        </w:rPr>
      </w:pPr>
      <w:r w:rsidRPr="00E80BAE">
        <w:rPr>
          <w:color w:val="000000"/>
          <w:sz w:val="24"/>
          <w:szCs w:val="24"/>
          <w:lang w:val="en-US"/>
        </w:rPr>
        <w:t>MÜLLER HOFSTEDE, Justus</w:t>
      </w:r>
      <w:r w:rsidR="00712D07">
        <w:rPr>
          <w:color w:val="000000"/>
          <w:sz w:val="24"/>
          <w:szCs w:val="24"/>
          <w:lang w:val="en-US"/>
        </w:rPr>
        <w:t xml:space="preserve">, </w:t>
      </w:r>
      <w:r w:rsidRPr="00E80BAE">
        <w:rPr>
          <w:color w:val="000000"/>
          <w:sz w:val="24"/>
          <w:szCs w:val="24"/>
          <w:lang w:val="en-US"/>
        </w:rPr>
        <w:t xml:space="preserve">“Abraham </w:t>
      </w:r>
      <w:proofErr w:type="spellStart"/>
      <w:r w:rsidRPr="00E80BAE">
        <w:rPr>
          <w:color w:val="000000"/>
          <w:sz w:val="24"/>
          <w:szCs w:val="24"/>
          <w:lang w:val="en-US"/>
        </w:rPr>
        <w:t>Janssens</w:t>
      </w:r>
      <w:proofErr w:type="spellEnd"/>
      <w:r w:rsidRPr="00E80BAE">
        <w:rPr>
          <w:color w:val="000000"/>
          <w:sz w:val="24"/>
          <w:szCs w:val="24"/>
          <w:lang w:val="en-US"/>
        </w:rPr>
        <w:t xml:space="preserve">: </w:t>
      </w:r>
      <w:proofErr w:type="spellStart"/>
      <w:r w:rsidRPr="00E80BAE">
        <w:rPr>
          <w:color w:val="000000"/>
          <w:sz w:val="24"/>
          <w:szCs w:val="24"/>
          <w:lang w:val="en-US"/>
        </w:rPr>
        <w:t>zur</w:t>
      </w:r>
      <w:proofErr w:type="spellEnd"/>
      <w:r w:rsidRPr="00E80BAE">
        <w:rPr>
          <w:color w:val="000000"/>
          <w:sz w:val="24"/>
          <w:szCs w:val="24"/>
          <w:lang w:val="en-US"/>
        </w:rPr>
        <w:t xml:space="preserve"> </w:t>
      </w:r>
      <w:proofErr w:type="spellStart"/>
      <w:r w:rsidRPr="00E80BAE">
        <w:rPr>
          <w:color w:val="000000"/>
          <w:sz w:val="24"/>
          <w:szCs w:val="24"/>
          <w:lang w:val="en-US"/>
        </w:rPr>
        <w:t>Problematik</w:t>
      </w:r>
      <w:proofErr w:type="spellEnd"/>
      <w:r w:rsidRPr="00E80BAE">
        <w:rPr>
          <w:color w:val="000000"/>
          <w:sz w:val="24"/>
          <w:szCs w:val="24"/>
          <w:lang w:val="en-US"/>
        </w:rPr>
        <w:t xml:space="preserve"> des </w:t>
      </w:r>
      <w:proofErr w:type="spellStart"/>
      <w:r w:rsidRPr="00E80BAE">
        <w:rPr>
          <w:color w:val="000000"/>
          <w:sz w:val="24"/>
          <w:szCs w:val="24"/>
          <w:lang w:val="en-US"/>
        </w:rPr>
        <w:t>flämischen</w:t>
      </w:r>
      <w:proofErr w:type="spellEnd"/>
      <w:r w:rsidRPr="00E80BAE">
        <w:rPr>
          <w:color w:val="000000"/>
          <w:sz w:val="24"/>
          <w:szCs w:val="24"/>
          <w:lang w:val="en-US"/>
        </w:rPr>
        <w:t xml:space="preserve"> </w:t>
      </w:r>
      <w:proofErr w:type="spellStart"/>
      <w:r w:rsidRPr="00E80BAE">
        <w:rPr>
          <w:color w:val="000000"/>
          <w:sz w:val="24"/>
          <w:szCs w:val="24"/>
          <w:lang w:val="en-US"/>
        </w:rPr>
        <w:t>Caravaggismus</w:t>
      </w:r>
      <w:proofErr w:type="spellEnd"/>
      <w:r w:rsidRPr="00E80BAE">
        <w:rPr>
          <w:color w:val="000000"/>
          <w:sz w:val="24"/>
          <w:szCs w:val="24"/>
          <w:lang w:val="en-US"/>
        </w:rPr>
        <w:t xml:space="preserve">”, </w:t>
      </w:r>
      <w:proofErr w:type="spellStart"/>
      <w:r w:rsidRPr="00E80BAE">
        <w:rPr>
          <w:i/>
          <w:iCs/>
          <w:color w:val="000000"/>
          <w:sz w:val="24"/>
          <w:szCs w:val="24"/>
          <w:lang w:val="en-US"/>
        </w:rPr>
        <w:t>Jahrbuch</w:t>
      </w:r>
      <w:proofErr w:type="spellEnd"/>
      <w:r w:rsidRPr="00E80BAE">
        <w:rPr>
          <w:i/>
          <w:iCs/>
          <w:color w:val="000000"/>
          <w:sz w:val="24"/>
          <w:szCs w:val="24"/>
          <w:lang w:val="en-US"/>
        </w:rPr>
        <w:t xml:space="preserve"> der Berliner </w:t>
      </w:r>
      <w:proofErr w:type="spellStart"/>
      <w:r w:rsidRPr="00E80BAE">
        <w:rPr>
          <w:i/>
          <w:iCs/>
          <w:color w:val="000000"/>
          <w:sz w:val="24"/>
          <w:szCs w:val="24"/>
          <w:lang w:val="en-US"/>
        </w:rPr>
        <w:t>Museen</w:t>
      </w:r>
      <w:proofErr w:type="spellEnd"/>
      <w:r w:rsidRPr="00E80BAE">
        <w:rPr>
          <w:color w:val="000000"/>
          <w:sz w:val="24"/>
          <w:szCs w:val="24"/>
          <w:lang w:val="en-US"/>
        </w:rPr>
        <w:t xml:space="preserve">, </w:t>
      </w:r>
      <w:r w:rsidR="00712D07">
        <w:rPr>
          <w:color w:val="000000"/>
          <w:sz w:val="24"/>
          <w:szCs w:val="24"/>
          <w:lang w:val="en-US"/>
        </w:rPr>
        <w:t xml:space="preserve">nº </w:t>
      </w:r>
      <w:r w:rsidRPr="00E80BAE">
        <w:rPr>
          <w:color w:val="000000"/>
          <w:sz w:val="24"/>
          <w:szCs w:val="24"/>
          <w:lang w:val="en-US"/>
        </w:rPr>
        <w:t>13, 1971, pp. 208-303.</w:t>
      </w:r>
    </w:p>
    <w:p w:rsidR="00D6185F" w:rsidRDefault="00E80BAE" w:rsidP="00D6185F">
      <w:pPr>
        <w:pStyle w:val="sdfootnote"/>
        <w:spacing w:line="360" w:lineRule="auto"/>
        <w:ind w:left="0" w:firstLine="0"/>
        <w:jc w:val="both"/>
        <w:rPr>
          <w:color w:val="000000"/>
          <w:sz w:val="24"/>
          <w:szCs w:val="24"/>
          <w:lang w:val="en-US"/>
        </w:rPr>
      </w:pPr>
      <w:r w:rsidRPr="00E80BAE">
        <w:rPr>
          <w:color w:val="000000"/>
          <w:sz w:val="24"/>
          <w:szCs w:val="24"/>
          <w:lang w:val="en-US"/>
        </w:rPr>
        <w:lastRenderedPageBreak/>
        <w:t xml:space="preserve">JANCZARSKI, </w:t>
      </w:r>
      <w:proofErr w:type="spellStart"/>
      <w:r w:rsidRPr="00E80BAE">
        <w:rPr>
          <w:color w:val="000000"/>
          <w:sz w:val="24"/>
          <w:szCs w:val="24"/>
          <w:lang w:val="en-US"/>
        </w:rPr>
        <w:t>Grzegorz</w:t>
      </w:r>
      <w:proofErr w:type="spellEnd"/>
      <w:r w:rsidR="00712D07">
        <w:rPr>
          <w:color w:val="000000"/>
          <w:sz w:val="24"/>
          <w:szCs w:val="24"/>
          <w:lang w:val="en-US"/>
        </w:rPr>
        <w:t xml:space="preserve">, </w:t>
      </w:r>
      <w:r w:rsidRPr="00E80BAE">
        <w:rPr>
          <w:color w:val="000000"/>
          <w:sz w:val="24"/>
          <w:szCs w:val="24"/>
          <w:lang w:val="en-US"/>
        </w:rPr>
        <w:t xml:space="preserve">"Technical Analysis of Abraham </w:t>
      </w:r>
      <w:proofErr w:type="spellStart"/>
      <w:r w:rsidRPr="00E80BAE">
        <w:rPr>
          <w:color w:val="000000"/>
          <w:sz w:val="24"/>
          <w:szCs w:val="24"/>
          <w:lang w:val="en-US"/>
        </w:rPr>
        <w:t>Janssens</w:t>
      </w:r>
      <w:proofErr w:type="spellEnd"/>
      <w:r w:rsidRPr="00E80BAE">
        <w:rPr>
          <w:color w:val="000000"/>
          <w:sz w:val="24"/>
          <w:szCs w:val="24"/>
          <w:lang w:val="en-US"/>
        </w:rPr>
        <w:t xml:space="preserve">' Entombment in the National Museum in Warsaw", </w:t>
      </w:r>
      <w:r w:rsidRPr="00E80BAE">
        <w:rPr>
          <w:i/>
          <w:iCs/>
          <w:color w:val="000000"/>
          <w:sz w:val="24"/>
          <w:szCs w:val="24"/>
          <w:lang w:val="en-US"/>
        </w:rPr>
        <w:t>Oud Holland</w:t>
      </w:r>
      <w:r w:rsidRPr="00E80BAE">
        <w:rPr>
          <w:color w:val="000000"/>
          <w:sz w:val="24"/>
          <w:szCs w:val="24"/>
          <w:lang w:val="en-US"/>
        </w:rPr>
        <w:t>, vol. 115, nº 3-4, 2001-2002, pp. 211-216.</w:t>
      </w:r>
    </w:p>
    <w:p w:rsidR="00623A4C" w:rsidRPr="00623A4C" w:rsidRDefault="00623A4C" w:rsidP="00CF0497">
      <w:pPr>
        <w:pStyle w:val="sdfootnote"/>
        <w:spacing w:line="360" w:lineRule="auto"/>
        <w:ind w:left="0" w:firstLine="0"/>
        <w:jc w:val="both"/>
        <w:rPr>
          <w:b/>
          <w:sz w:val="24"/>
          <w:szCs w:val="24"/>
        </w:rPr>
      </w:pPr>
      <w:r w:rsidRPr="00623A4C">
        <w:rPr>
          <w:b/>
          <w:sz w:val="24"/>
          <w:szCs w:val="24"/>
        </w:rPr>
        <w:t>Ilustraciones:</w:t>
      </w:r>
      <w:r w:rsidR="007C16DB">
        <w:rPr>
          <w:b/>
          <w:sz w:val="24"/>
          <w:szCs w:val="24"/>
        </w:rPr>
        <w:t xml:space="preserve"> </w:t>
      </w:r>
    </w:p>
    <w:p w:rsidR="00CF0497" w:rsidRDefault="0047743A" w:rsidP="00CF0497">
      <w:pPr>
        <w:pStyle w:val="sdfootnote"/>
        <w:spacing w:line="360" w:lineRule="auto"/>
        <w:ind w:left="0" w:firstLine="0"/>
        <w:jc w:val="both"/>
        <w:rPr>
          <w:sz w:val="24"/>
          <w:szCs w:val="24"/>
        </w:rPr>
      </w:pPr>
      <w:r w:rsidRPr="008212E9">
        <w:rPr>
          <w:sz w:val="24"/>
          <w:szCs w:val="24"/>
        </w:rPr>
        <w:t xml:space="preserve">Fig. 1: La Lamentación sobre Cristo muerto, taller de Abraham </w:t>
      </w:r>
      <w:proofErr w:type="spellStart"/>
      <w:r w:rsidRPr="008212E9">
        <w:rPr>
          <w:sz w:val="24"/>
          <w:szCs w:val="24"/>
        </w:rPr>
        <w:t>Janssens</w:t>
      </w:r>
      <w:proofErr w:type="spellEnd"/>
      <w:r w:rsidRPr="008212E9">
        <w:rPr>
          <w:sz w:val="24"/>
          <w:szCs w:val="24"/>
        </w:rPr>
        <w:t>, entre 162</w:t>
      </w:r>
      <w:r w:rsidR="007522B8">
        <w:rPr>
          <w:sz w:val="24"/>
          <w:szCs w:val="24"/>
        </w:rPr>
        <w:t>4</w:t>
      </w:r>
      <w:r w:rsidRPr="008212E9">
        <w:rPr>
          <w:sz w:val="24"/>
          <w:szCs w:val="24"/>
        </w:rPr>
        <w:t xml:space="preserve"> y 1632, Iglesia Mayor de Sanlúcar.</w:t>
      </w:r>
    </w:p>
    <w:p w:rsidR="005C59EC" w:rsidRPr="008212E9" w:rsidRDefault="0047743A" w:rsidP="00CF0497">
      <w:pPr>
        <w:pStyle w:val="sdfootnote"/>
        <w:spacing w:line="360" w:lineRule="auto"/>
        <w:ind w:left="0" w:firstLine="0"/>
        <w:jc w:val="both"/>
        <w:rPr>
          <w:b/>
          <w:bCs/>
          <w:color w:val="000000"/>
        </w:rPr>
      </w:pPr>
      <w:r w:rsidRPr="008212E9">
        <w:rPr>
          <w:sz w:val="24"/>
          <w:szCs w:val="24"/>
        </w:rPr>
        <w:t>Fig. 2: La Lamentación sobre Cristo muerto, Museo Nacional de Varsovia, ha</w:t>
      </w:r>
      <w:r w:rsidR="007E5A7B" w:rsidRPr="008212E9">
        <w:rPr>
          <w:sz w:val="24"/>
          <w:szCs w:val="24"/>
        </w:rPr>
        <w:t>.</w:t>
      </w:r>
      <w:r w:rsidRPr="008212E9">
        <w:rPr>
          <w:sz w:val="24"/>
          <w:szCs w:val="24"/>
        </w:rPr>
        <w:t xml:space="preserve"> 162</w:t>
      </w:r>
      <w:r w:rsidR="007522B8">
        <w:rPr>
          <w:sz w:val="24"/>
          <w:szCs w:val="24"/>
        </w:rPr>
        <w:t>4</w:t>
      </w:r>
      <w:r w:rsidRPr="008212E9">
        <w:rPr>
          <w:sz w:val="24"/>
          <w:szCs w:val="24"/>
        </w:rPr>
        <w:t>.</w:t>
      </w:r>
    </w:p>
    <w:sectPr w:rsidR="005C59EC" w:rsidRPr="008212E9">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3BB" w:rsidRDefault="007F73BB" w:rsidP="00D60B87">
      <w:pPr>
        <w:spacing w:after="0" w:line="240" w:lineRule="auto"/>
      </w:pPr>
      <w:r>
        <w:separator/>
      </w:r>
    </w:p>
  </w:endnote>
  <w:endnote w:type="continuationSeparator" w:id="0">
    <w:p w:rsidR="007F73BB" w:rsidRDefault="007F73BB" w:rsidP="00D60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6950906"/>
      <w:docPartObj>
        <w:docPartGallery w:val="Page Numbers (Bottom of Page)"/>
        <w:docPartUnique/>
      </w:docPartObj>
    </w:sdtPr>
    <w:sdtEndPr/>
    <w:sdtContent>
      <w:p w:rsidR="00670C9C" w:rsidRDefault="00670C9C">
        <w:pPr>
          <w:pStyle w:val="Piedepgina"/>
          <w:jc w:val="right"/>
        </w:pPr>
        <w:r>
          <w:fldChar w:fldCharType="begin"/>
        </w:r>
        <w:r>
          <w:instrText>PAGE   \* MERGEFORMAT</w:instrText>
        </w:r>
        <w:r>
          <w:fldChar w:fldCharType="separate"/>
        </w:r>
        <w:r w:rsidR="006F2B9C">
          <w:rPr>
            <w:noProof/>
          </w:rPr>
          <w:t>6</w:t>
        </w:r>
        <w:r>
          <w:fldChar w:fldCharType="end"/>
        </w:r>
      </w:p>
    </w:sdtContent>
  </w:sdt>
  <w:p w:rsidR="00670C9C" w:rsidRDefault="00670C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3BB" w:rsidRDefault="007F73BB" w:rsidP="00D60B87">
      <w:pPr>
        <w:spacing w:after="0" w:line="240" w:lineRule="auto"/>
      </w:pPr>
      <w:r>
        <w:separator/>
      </w:r>
    </w:p>
  </w:footnote>
  <w:footnote w:type="continuationSeparator" w:id="0">
    <w:p w:rsidR="007F73BB" w:rsidRDefault="007F73BB" w:rsidP="00D60B87">
      <w:pPr>
        <w:spacing w:after="0" w:line="240" w:lineRule="auto"/>
      </w:pPr>
      <w:r>
        <w:continuationSeparator/>
      </w:r>
    </w:p>
  </w:footnote>
  <w:footnote w:id="1">
    <w:p w:rsidR="001B4012" w:rsidRPr="006A2CE8" w:rsidRDefault="001B4012" w:rsidP="001B4012">
      <w:pPr>
        <w:pStyle w:val="sdfootnote"/>
        <w:ind w:left="0" w:firstLine="0"/>
        <w:jc w:val="both"/>
      </w:pPr>
      <w:r w:rsidRPr="006A2CE8">
        <w:rPr>
          <w:rStyle w:val="Refdenotaalpie"/>
        </w:rPr>
        <w:footnoteRef/>
      </w:r>
      <w:r w:rsidRPr="006A2CE8">
        <w:t xml:space="preserve"> </w:t>
      </w:r>
      <w:r w:rsidR="00CE7AFD" w:rsidRPr="006A2CE8">
        <w:t xml:space="preserve">Queremos agradecer su imprescindible ayuda a Dª </w:t>
      </w:r>
      <w:proofErr w:type="spellStart"/>
      <w:r w:rsidR="00CE7AFD" w:rsidRPr="006A2CE8">
        <w:t>Hanna</w:t>
      </w:r>
      <w:proofErr w:type="spellEnd"/>
      <w:r w:rsidR="00CE7AFD" w:rsidRPr="006A2CE8">
        <w:t xml:space="preserve"> </w:t>
      </w:r>
      <w:proofErr w:type="spellStart"/>
      <w:r w:rsidR="00CE7AFD" w:rsidRPr="006A2CE8">
        <w:t>Benesz</w:t>
      </w:r>
      <w:proofErr w:type="spellEnd"/>
      <w:r w:rsidR="00CE7AFD" w:rsidRPr="006A2CE8">
        <w:t xml:space="preserve"> y Dª </w:t>
      </w:r>
      <w:proofErr w:type="spellStart"/>
      <w:r w:rsidR="00CE7AFD" w:rsidRPr="006A2CE8">
        <w:t>Aleksandra</w:t>
      </w:r>
      <w:proofErr w:type="spellEnd"/>
      <w:r w:rsidR="00CE7AFD" w:rsidRPr="006A2CE8">
        <w:t xml:space="preserve"> </w:t>
      </w:r>
      <w:proofErr w:type="spellStart"/>
      <w:r w:rsidR="00CE7AFD" w:rsidRPr="006A2CE8">
        <w:t>Janiszewska</w:t>
      </w:r>
      <w:proofErr w:type="spellEnd"/>
      <w:r w:rsidR="00CE7AFD" w:rsidRPr="006A2CE8">
        <w:t xml:space="preserve"> y D. </w:t>
      </w:r>
      <w:proofErr w:type="spellStart"/>
      <w:r w:rsidR="00CE7AFD" w:rsidRPr="006A2CE8">
        <w:t>Mikołaj</w:t>
      </w:r>
      <w:proofErr w:type="spellEnd"/>
      <w:r w:rsidR="00CE7AFD" w:rsidRPr="006A2CE8">
        <w:t xml:space="preserve"> </w:t>
      </w:r>
      <w:proofErr w:type="spellStart"/>
      <w:r w:rsidR="00CE7AFD" w:rsidRPr="006A2CE8">
        <w:t>Machowski</w:t>
      </w:r>
      <w:proofErr w:type="spellEnd"/>
      <w:r w:rsidR="00CE7AFD" w:rsidRPr="006A2CE8">
        <w:t xml:space="preserve">, del Museo Nacional de Varsovia, y a D. </w:t>
      </w:r>
      <w:proofErr w:type="spellStart"/>
      <w:r w:rsidR="00CE7AFD" w:rsidRPr="006A2CE8">
        <w:t>Joost</w:t>
      </w:r>
      <w:proofErr w:type="spellEnd"/>
      <w:r w:rsidR="00CE7AFD" w:rsidRPr="006A2CE8">
        <w:t xml:space="preserve"> </w:t>
      </w:r>
      <w:proofErr w:type="spellStart"/>
      <w:r w:rsidR="00CE7AFD" w:rsidRPr="006A2CE8">
        <w:t>Vander</w:t>
      </w:r>
      <w:proofErr w:type="spellEnd"/>
      <w:r w:rsidR="00CE7AFD" w:rsidRPr="006A2CE8">
        <w:t xml:space="preserve"> </w:t>
      </w:r>
      <w:proofErr w:type="spellStart"/>
      <w:r w:rsidR="00CE7AFD" w:rsidRPr="006A2CE8">
        <w:t>Auwera</w:t>
      </w:r>
      <w:proofErr w:type="spellEnd"/>
      <w:r w:rsidR="00CE7AFD" w:rsidRPr="006A2CE8">
        <w:t xml:space="preserve">, de los Reales Museos de Bellas Artes de Bélgica, en Bruselas. Asimismo agradecemos al sacerdote D. Juan Jacinto del Castillo Espinosa habernos permitido fotografiar la obra, que hasta mediados de 2016 estuvo en el coro alto del templo, en el lado de la Epístola, frente al órgano. Actualmente está en la capilla de las Ánimas, en el lado de la Epístola. </w:t>
      </w:r>
    </w:p>
  </w:footnote>
  <w:footnote w:id="2">
    <w:p w:rsidR="001B4012" w:rsidRPr="006A2CE8" w:rsidRDefault="001B4012" w:rsidP="001B4012">
      <w:pPr>
        <w:pStyle w:val="Textonotapie"/>
        <w:jc w:val="both"/>
        <w:rPr>
          <w:rFonts w:ascii="Times New Roman" w:hAnsi="Times New Roman" w:cs="Times New Roman"/>
        </w:rPr>
      </w:pPr>
      <w:r w:rsidRPr="006A2CE8">
        <w:rPr>
          <w:rStyle w:val="Refdenotaalpie"/>
          <w:rFonts w:ascii="Times New Roman" w:hAnsi="Times New Roman" w:cs="Times New Roman"/>
        </w:rPr>
        <w:footnoteRef/>
      </w:r>
      <w:r w:rsidRPr="006A2CE8">
        <w:rPr>
          <w:rFonts w:ascii="Times New Roman" w:hAnsi="Times New Roman" w:cs="Times New Roman"/>
        </w:rPr>
        <w:t xml:space="preserve"> Su elevada ubicación nos ha impedido tomar las medidas exactas.</w:t>
      </w:r>
    </w:p>
  </w:footnote>
  <w:footnote w:id="3">
    <w:p w:rsidR="001B4012" w:rsidRPr="006A2CE8" w:rsidRDefault="001B4012" w:rsidP="001B4012">
      <w:pPr>
        <w:pStyle w:val="Textonotapie"/>
        <w:jc w:val="both"/>
        <w:rPr>
          <w:rFonts w:ascii="Times New Roman" w:hAnsi="Times New Roman" w:cs="Times New Roman"/>
        </w:rPr>
      </w:pPr>
      <w:r w:rsidRPr="006A2CE8">
        <w:rPr>
          <w:rStyle w:val="Refdenotaalpie"/>
          <w:rFonts w:ascii="Times New Roman" w:hAnsi="Times New Roman" w:cs="Times New Roman"/>
        </w:rPr>
        <w:footnoteRef/>
      </w:r>
      <w:r w:rsidRPr="006A2CE8">
        <w:rPr>
          <w:rFonts w:ascii="Times New Roman" w:hAnsi="Times New Roman" w:cs="Times New Roman"/>
        </w:rPr>
        <w:t xml:space="preserve"> Número de inventario M.Ob.1680 MNW.</w:t>
      </w:r>
    </w:p>
  </w:footnote>
  <w:footnote w:id="4">
    <w:p w:rsidR="00D60B87" w:rsidRPr="006A2CE8" w:rsidRDefault="00D60B87" w:rsidP="00D60B87">
      <w:pPr>
        <w:pStyle w:val="Textonotapie"/>
        <w:jc w:val="both"/>
        <w:rPr>
          <w:rFonts w:ascii="Times New Roman" w:hAnsi="Times New Roman" w:cs="Times New Roman"/>
        </w:rPr>
      </w:pPr>
      <w:r w:rsidRPr="006A2CE8">
        <w:rPr>
          <w:rStyle w:val="Refdenotaalpie"/>
          <w:rFonts w:ascii="Times New Roman" w:hAnsi="Times New Roman" w:cs="Times New Roman"/>
        </w:rPr>
        <w:footnoteRef/>
      </w:r>
      <w:r w:rsidRPr="006A2CE8">
        <w:rPr>
          <w:rFonts w:ascii="Times New Roman" w:hAnsi="Times New Roman" w:cs="Times New Roman"/>
        </w:rPr>
        <w:t xml:space="preserve"> Fecha en que se ha adecentado.</w:t>
      </w:r>
    </w:p>
  </w:footnote>
  <w:footnote w:id="5">
    <w:p w:rsidR="001B4012" w:rsidRPr="006A2CE8" w:rsidRDefault="001B4012" w:rsidP="001B4012">
      <w:pPr>
        <w:pStyle w:val="Textonotapie"/>
        <w:jc w:val="both"/>
        <w:rPr>
          <w:rFonts w:ascii="Times New Roman" w:hAnsi="Times New Roman" w:cs="Times New Roman"/>
        </w:rPr>
      </w:pPr>
      <w:r w:rsidRPr="006A2CE8">
        <w:rPr>
          <w:rStyle w:val="Refdenotaalpie"/>
          <w:rFonts w:ascii="Times New Roman" w:hAnsi="Times New Roman" w:cs="Times New Roman"/>
        </w:rPr>
        <w:footnoteRef/>
      </w:r>
      <w:r w:rsidRPr="006A2CE8">
        <w:rPr>
          <w:rFonts w:ascii="Times New Roman" w:hAnsi="Times New Roman" w:cs="Times New Roman"/>
        </w:rPr>
        <w:t xml:space="preserve"> Así se lo revelé a </w:t>
      </w:r>
      <w:r w:rsidR="00A12C26" w:rsidRPr="006A2CE8">
        <w:rPr>
          <w:rFonts w:ascii="Times New Roman" w:hAnsi="Times New Roman" w:cs="Times New Roman"/>
        </w:rPr>
        <w:t>D. Eduardo Lamas Delgado</w:t>
      </w:r>
      <w:r w:rsidRPr="006A2CE8">
        <w:rPr>
          <w:rFonts w:ascii="Times New Roman" w:hAnsi="Times New Roman" w:cs="Times New Roman"/>
        </w:rPr>
        <w:t xml:space="preserve">, quien lo trasmitió a </w:t>
      </w:r>
      <w:r w:rsidR="00A12C26" w:rsidRPr="006A2CE8">
        <w:rPr>
          <w:rFonts w:ascii="Times New Roman" w:hAnsi="Times New Roman" w:cs="Times New Roman"/>
        </w:rPr>
        <w:t>Dª. Ana Diéguez Rodríguez</w:t>
      </w:r>
      <w:r w:rsidRPr="006A2CE8">
        <w:rPr>
          <w:rFonts w:ascii="Times New Roman" w:hAnsi="Times New Roman" w:cs="Times New Roman"/>
        </w:rPr>
        <w:t xml:space="preserve">, que junto a </w:t>
      </w:r>
      <w:r w:rsidR="00A12C26" w:rsidRPr="006A2CE8">
        <w:rPr>
          <w:rFonts w:ascii="Times New Roman" w:hAnsi="Times New Roman" w:cs="Times New Roman"/>
        </w:rPr>
        <w:t>D. Matías Díaz Padrón</w:t>
      </w:r>
      <w:r w:rsidRPr="006A2CE8">
        <w:rPr>
          <w:rFonts w:ascii="Times New Roman" w:hAnsi="Times New Roman" w:cs="Times New Roman"/>
        </w:rPr>
        <w:t xml:space="preserve"> visitaron Sanlúcar y vieron la obra. A todos agradezco </w:t>
      </w:r>
      <w:r w:rsidR="007A7DD4" w:rsidRPr="006A2CE8">
        <w:rPr>
          <w:rFonts w:ascii="Times New Roman" w:hAnsi="Times New Roman" w:cs="Times New Roman"/>
        </w:rPr>
        <w:t>el</w:t>
      </w:r>
      <w:r w:rsidRPr="006A2CE8">
        <w:rPr>
          <w:rFonts w:ascii="Times New Roman" w:hAnsi="Times New Roman" w:cs="Times New Roman"/>
        </w:rPr>
        <w:t xml:space="preserve"> interés por mi trabajo</w:t>
      </w:r>
      <w:r w:rsidR="007A7DD4" w:rsidRPr="006A2CE8">
        <w:rPr>
          <w:rFonts w:ascii="Times New Roman" w:hAnsi="Times New Roman" w:cs="Times New Roman"/>
        </w:rPr>
        <w:t xml:space="preserve"> y a Dª Ana por su ayuda con la bibliografía</w:t>
      </w:r>
      <w:r w:rsidRPr="006A2CE8">
        <w:rPr>
          <w:rFonts w:ascii="Times New Roman" w:hAnsi="Times New Roman" w:cs="Times New Roman"/>
        </w:rPr>
        <w:t>.</w:t>
      </w:r>
    </w:p>
  </w:footnote>
  <w:footnote w:id="6">
    <w:p w:rsidR="006A2CE8" w:rsidRPr="006A2CE8" w:rsidRDefault="006A2CE8">
      <w:pPr>
        <w:pStyle w:val="Textonotapie"/>
        <w:rPr>
          <w:rFonts w:ascii="Times New Roman" w:hAnsi="Times New Roman" w:cs="Times New Roman"/>
        </w:rPr>
      </w:pPr>
      <w:r w:rsidRPr="006A2CE8">
        <w:rPr>
          <w:rStyle w:val="Refdenotaalpie"/>
          <w:rFonts w:ascii="Times New Roman" w:hAnsi="Times New Roman" w:cs="Times New Roman"/>
        </w:rPr>
        <w:footnoteRef/>
      </w:r>
      <w:r w:rsidRPr="006A2CE8">
        <w:rPr>
          <w:rFonts w:ascii="Times New Roman" w:hAnsi="Times New Roman" w:cs="Times New Roman"/>
        </w:rPr>
        <w:t xml:space="preserve"> </w:t>
      </w:r>
      <w:r>
        <w:rPr>
          <w:rFonts w:ascii="Times New Roman" w:hAnsi="Times New Roman" w:cs="Times New Roman"/>
        </w:rPr>
        <w:t xml:space="preserve">Número de inventario: </w:t>
      </w:r>
      <w:r w:rsidRPr="006A2CE8">
        <w:rPr>
          <w:rFonts w:ascii="Times New Roman" w:hAnsi="Times New Roman" w:cs="Times New Roman"/>
        </w:rPr>
        <w:t>Inv. 46-1-13.</w:t>
      </w:r>
    </w:p>
  </w:footnote>
  <w:footnote w:id="7">
    <w:p w:rsidR="001B4012" w:rsidRPr="006A2CE8" w:rsidRDefault="001B4012" w:rsidP="001B4012">
      <w:pPr>
        <w:pStyle w:val="Textonotapie"/>
        <w:jc w:val="both"/>
        <w:rPr>
          <w:rFonts w:ascii="Times New Roman" w:hAnsi="Times New Roman" w:cs="Times New Roman"/>
        </w:rPr>
      </w:pPr>
      <w:r w:rsidRPr="006A2CE8">
        <w:rPr>
          <w:rStyle w:val="Refdenotaalpie"/>
          <w:rFonts w:ascii="Times New Roman" w:hAnsi="Times New Roman" w:cs="Times New Roman"/>
        </w:rPr>
        <w:footnoteRef/>
      </w:r>
      <w:r w:rsidRPr="006A2CE8">
        <w:rPr>
          <w:rFonts w:ascii="Times New Roman" w:hAnsi="Times New Roman" w:cs="Times New Roman"/>
        </w:rPr>
        <w:t xml:space="preserve"> Salvo el detalle del clavo junto a la palangana que ya hemos indicado.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BAE"/>
    <w:rsid w:val="000144C9"/>
    <w:rsid w:val="000969FD"/>
    <w:rsid w:val="000C4509"/>
    <w:rsid w:val="000F35BD"/>
    <w:rsid w:val="0015470E"/>
    <w:rsid w:val="00160F5C"/>
    <w:rsid w:val="00176FBA"/>
    <w:rsid w:val="00195CFB"/>
    <w:rsid w:val="001B4012"/>
    <w:rsid w:val="001F3828"/>
    <w:rsid w:val="00204D6B"/>
    <w:rsid w:val="0023770D"/>
    <w:rsid w:val="00253F49"/>
    <w:rsid w:val="0027160C"/>
    <w:rsid w:val="00284F71"/>
    <w:rsid w:val="002D1E48"/>
    <w:rsid w:val="002D33B9"/>
    <w:rsid w:val="002D3B06"/>
    <w:rsid w:val="00326204"/>
    <w:rsid w:val="00364112"/>
    <w:rsid w:val="003A7371"/>
    <w:rsid w:val="003B7912"/>
    <w:rsid w:val="004365FE"/>
    <w:rsid w:val="004611EF"/>
    <w:rsid w:val="0047743A"/>
    <w:rsid w:val="004A50B5"/>
    <w:rsid w:val="004A63F4"/>
    <w:rsid w:val="00571CFC"/>
    <w:rsid w:val="005C2786"/>
    <w:rsid w:val="005C59EC"/>
    <w:rsid w:val="00623A4C"/>
    <w:rsid w:val="00636C2D"/>
    <w:rsid w:val="00670C9C"/>
    <w:rsid w:val="006A2CE8"/>
    <w:rsid w:val="006B2618"/>
    <w:rsid w:val="006F2B9C"/>
    <w:rsid w:val="00712D07"/>
    <w:rsid w:val="007522B8"/>
    <w:rsid w:val="00763A7B"/>
    <w:rsid w:val="007A337D"/>
    <w:rsid w:val="007A7DD4"/>
    <w:rsid w:val="007B7E00"/>
    <w:rsid w:val="007C16DB"/>
    <w:rsid w:val="007E5A7B"/>
    <w:rsid w:val="007F73BB"/>
    <w:rsid w:val="008212E9"/>
    <w:rsid w:val="00822BEA"/>
    <w:rsid w:val="0082565F"/>
    <w:rsid w:val="00836D18"/>
    <w:rsid w:val="008435D3"/>
    <w:rsid w:val="00857BF7"/>
    <w:rsid w:val="00857C13"/>
    <w:rsid w:val="008C1C12"/>
    <w:rsid w:val="009448D9"/>
    <w:rsid w:val="009808E0"/>
    <w:rsid w:val="009D0B37"/>
    <w:rsid w:val="009F12F0"/>
    <w:rsid w:val="00A12C26"/>
    <w:rsid w:val="00A17CDB"/>
    <w:rsid w:val="00A47F5C"/>
    <w:rsid w:val="00AB7867"/>
    <w:rsid w:val="00B83B72"/>
    <w:rsid w:val="00BE77A3"/>
    <w:rsid w:val="00C34571"/>
    <w:rsid w:val="00C35F51"/>
    <w:rsid w:val="00C51982"/>
    <w:rsid w:val="00CE7AFD"/>
    <w:rsid w:val="00CF0497"/>
    <w:rsid w:val="00CF3A9F"/>
    <w:rsid w:val="00D135A0"/>
    <w:rsid w:val="00D5077A"/>
    <w:rsid w:val="00D60B87"/>
    <w:rsid w:val="00D6185F"/>
    <w:rsid w:val="00DB595D"/>
    <w:rsid w:val="00E6452C"/>
    <w:rsid w:val="00E809E8"/>
    <w:rsid w:val="00E80BAE"/>
    <w:rsid w:val="00E9187A"/>
    <w:rsid w:val="00EF2A2F"/>
    <w:rsid w:val="00F06F24"/>
    <w:rsid w:val="00F279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715EB-950E-4CC0-8426-4848DBD9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0BAE"/>
    <w:rPr>
      <w:color w:val="0000FF"/>
      <w:u w:val="single"/>
    </w:rPr>
  </w:style>
  <w:style w:type="paragraph" w:styleId="NormalWeb">
    <w:name w:val="Normal (Web)"/>
    <w:basedOn w:val="Normal"/>
    <w:uiPriority w:val="99"/>
    <w:unhideWhenUsed/>
    <w:rsid w:val="00E80BAE"/>
    <w:pPr>
      <w:spacing w:before="100" w:beforeAutospacing="1" w:after="119" w:line="240" w:lineRule="auto"/>
    </w:pPr>
    <w:rPr>
      <w:rFonts w:ascii="Times New Roman" w:eastAsia="Times New Roman" w:hAnsi="Times New Roman" w:cs="Times New Roman"/>
      <w:sz w:val="24"/>
      <w:szCs w:val="24"/>
      <w:lang w:eastAsia="es-ES"/>
    </w:rPr>
  </w:style>
  <w:style w:type="paragraph" w:customStyle="1" w:styleId="sdfootnote">
    <w:name w:val="sdfootnote"/>
    <w:basedOn w:val="Normal"/>
    <w:rsid w:val="00E80BAE"/>
    <w:pPr>
      <w:spacing w:before="100" w:beforeAutospacing="1" w:after="0" w:line="240" w:lineRule="auto"/>
      <w:ind w:left="284" w:hanging="284"/>
    </w:pPr>
    <w:rPr>
      <w:rFonts w:ascii="Times New Roman" w:eastAsia="Times New Roman" w:hAnsi="Times New Roman" w:cs="Times New Roman"/>
      <w:sz w:val="20"/>
      <w:szCs w:val="20"/>
      <w:lang w:eastAsia="es-ES"/>
    </w:rPr>
  </w:style>
  <w:style w:type="character" w:styleId="Hipervnculovisitado">
    <w:name w:val="FollowedHyperlink"/>
    <w:basedOn w:val="Fuentedeprrafopredeter"/>
    <w:uiPriority w:val="99"/>
    <w:semiHidden/>
    <w:unhideWhenUsed/>
    <w:rsid w:val="00D60B87"/>
    <w:rPr>
      <w:color w:val="954F72" w:themeColor="followedHyperlink"/>
      <w:u w:val="single"/>
    </w:rPr>
  </w:style>
  <w:style w:type="paragraph" w:styleId="Textonotapie">
    <w:name w:val="footnote text"/>
    <w:basedOn w:val="Normal"/>
    <w:link w:val="TextonotapieCar"/>
    <w:uiPriority w:val="99"/>
    <w:unhideWhenUsed/>
    <w:rsid w:val="00D60B87"/>
    <w:pPr>
      <w:spacing w:after="0" w:line="240" w:lineRule="auto"/>
    </w:pPr>
    <w:rPr>
      <w:sz w:val="20"/>
      <w:szCs w:val="20"/>
    </w:rPr>
  </w:style>
  <w:style w:type="character" w:customStyle="1" w:styleId="TextonotapieCar">
    <w:name w:val="Texto nota pie Car"/>
    <w:basedOn w:val="Fuentedeprrafopredeter"/>
    <w:link w:val="Textonotapie"/>
    <w:uiPriority w:val="99"/>
    <w:rsid w:val="00D60B87"/>
    <w:rPr>
      <w:sz w:val="20"/>
      <w:szCs w:val="20"/>
    </w:rPr>
  </w:style>
  <w:style w:type="character" w:styleId="Refdenotaalpie">
    <w:name w:val="footnote reference"/>
    <w:basedOn w:val="Fuentedeprrafopredeter"/>
    <w:uiPriority w:val="99"/>
    <w:semiHidden/>
    <w:unhideWhenUsed/>
    <w:rsid w:val="00D60B87"/>
    <w:rPr>
      <w:vertAlign w:val="superscript"/>
    </w:rPr>
  </w:style>
  <w:style w:type="paragraph" w:styleId="Encabezado">
    <w:name w:val="header"/>
    <w:basedOn w:val="Normal"/>
    <w:link w:val="EncabezadoCar"/>
    <w:uiPriority w:val="99"/>
    <w:unhideWhenUsed/>
    <w:rsid w:val="00670C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70C9C"/>
  </w:style>
  <w:style w:type="paragraph" w:styleId="Piedepgina">
    <w:name w:val="footer"/>
    <w:basedOn w:val="Normal"/>
    <w:link w:val="PiedepginaCar"/>
    <w:uiPriority w:val="99"/>
    <w:unhideWhenUsed/>
    <w:rsid w:val="00670C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70C9C"/>
  </w:style>
  <w:style w:type="paragraph" w:styleId="Descripcin">
    <w:name w:val="caption"/>
    <w:basedOn w:val="Normal"/>
    <w:next w:val="Normal"/>
    <w:uiPriority w:val="35"/>
    <w:unhideWhenUsed/>
    <w:qFormat/>
    <w:rsid w:val="0047743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12650">
      <w:bodyDiv w:val="1"/>
      <w:marLeft w:val="0"/>
      <w:marRight w:val="0"/>
      <w:marTop w:val="0"/>
      <w:marBottom w:val="0"/>
      <w:divBdr>
        <w:top w:val="none" w:sz="0" w:space="0" w:color="auto"/>
        <w:left w:val="none" w:sz="0" w:space="0" w:color="auto"/>
        <w:bottom w:val="none" w:sz="0" w:space="0" w:color="auto"/>
        <w:right w:val="none" w:sz="0" w:space="0" w:color="auto"/>
      </w:divBdr>
      <w:divsChild>
        <w:div w:id="1376464777">
          <w:marLeft w:val="0"/>
          <w:marRight w:val="0"/>
          <w:marTop w:val="0"/>
          <w:marBottom w:val="0"/>
          <w:divBdr>
            <w:top w:val="none" w:sz="0" w:space="0" w:color="auto"/>
            <w:left w:val="none" w:sz="0" w:space="0" w:color="auto"/>
            <w:bottom w:val="none" w:sz="0" w:space="0" w:color="auto"/>
            <w:right w:val="none" w:sz="0" w:space="0" w:color="auto"/>
          </w:divBdr>
        </w:div>
        <w:div w:id="622417994">
          <w:marLeft w:val="0"/>
          <w:marRight w:val="0"/>
          <w:marTop w:val="0"/>
          <w:marBottom w:val="0"/>
          <w:divBdr>
            <w:top w:val="none" w:sz="0" w:space="0" w:color="auto"/>
            <w:left w:val="none" w:sz="0" w:space="0" w:color="auto"/>
            <w:bottom w:val="none" w:sz="0" w:space="0" w:color="auto"/>
            <w:right w:val="none" w:sz="0" w:space="0" w:color="auto"/>
          </w:divBdr>
        </w:div>
        <w:div w:id="788427738">
          <w:marLeft w:val="0"/>
          <w:marRight w:val="0"/>
          <w:marTop w:val="0"/>
          <w:marBottom w:val="0"/>
          <w:divBdr>
            <w:top w:val="none" w:sz="0" w:space="0" w:color="auto"/>
            <w:left w:val="none" w:sz="0" w:space="0" w:color="auto"/>
            <w:bottom w:val="none" w:sz="0" w:space="0" w:color="auto"/>
            <w:right w:val="none" w:sz="0" w:space="0" w:color="auto"/>
          </w:divBdr>
        </w:div>
        <w:div w:id="537813597">
          <w:marLeft w:val="0"/>
          <w:marRight w:val="0"/>
          <w:marTop w:val="0"/>
          <w:marBottom w:val="0"/>
          <w:divBdr>
            <w:top w:val="none" w:sz="0" w:space="0" w:color="auto"/>
            <w:left w:val="none" w:sz="0" w:space="0" w:color="auto"/>
            <w:bottom w:val="none" w:sz="0" w:space="0" w:color="auto"/>
            <w:right w:val="none" w:sz="0" w:space="0" w:color="auto"/>
          </w:divBdr>
        </w:div>
        <w:div w:id="573516932">
          <w:marLeft w:val="0"/>
          <w:marRight w:val="0"/>
          <w:marTop w:val="0"/>
          <w:marBottom w:val="0"/>
          <w:divBdr>
            <w:top w:val="none" w:sz="0" w:space="0" w:color="auto"/>
            <w:left w:val="none" w:sz="0" w:space="0" w:color="auto"/>
            <w:bottom w:val="none" w:sz="0" w:space="0" w:color="auto"/>
            <w:right w:val="none" w:sz="0" w:space="0" w:color="auto"/>
          </w:divBdr>
        </w:div>
        <w:div w:id="1395351836">
          <w:marLeft w:val="0"/>
          <w:marRight w:val="0"/>
          <w:marTop w:val="0"/>
          <w:marBottom w:val="0"/>
          <w:divBdr>
            <w:top w:val="none" w:sz="0" w:space="0" w:color="auto"/>
            <w:left w:val="none" w:sz="0" w:space="0" w:color="auto"/>
            <w:bottom w:val="none" w:sz="0" w:space="0" w:color="auto"/>
            <w:right w:val="none" w:sz="0" w:space="0" w:color="auto"/>
          </w:divBdr>
        </w:div>
        <w:div w:id="306279640">
          <w:marLeft w:val="0"/>
          <w:marRight w:val="0"/>
          <w:marTop w:val="0"/>
          <w:marBottom w:val="0"/>
          <w:divBdr>
            <w:top w:val="none" w:sz="0" w:space="0" w:color="auto"/>
            <w:left w:val="none" w:sz="0" w:space="0" w:color="auto"/>
            <w:bottom w:val="none" w:sz="0" w:space="0" w:color="auto"/>
            <w:right w:val="none" w:sz="0" w:space="0" w:color="auto"/>
          </w:divBdr>
        </w:div>
        <w:div w:id="993028935">
          <w:marLeft w:val="0"/>
          <w:marRight w:val="0"/>
          <w:marTop w:val="0"/>
          <w:marBottom w:val="0"/>
          <w:divBdr>
            <w:top w:val="none" w:sz="0" w:space="0" w:color="auto"/>
            <w:left w:val="none" w:sz="0" w:space="0" w:color="auto"/>
            <w:bottom w:val="none" w:sz="0" w:space="0" w:color="auto"/>
            <w:right w:val="none" w:sz="0" w:space="0" w:color="auto"/>
          </w:divBdr>
        </w:div>
        <w:div w:id="438525220">
          <w:marLeft w:val="0"/>
          <w:marRight w:val="0"/>
          <w:marTop w:val="0"/>
          <w:marBottom w:val="0"/>
          <w:divBdr>
            <w:top w:val="none" w:sz="0" w:space="0" w:color="auto"/>
            <w:left w:val="none" w:sz="0" w:space="0" w:color="auto"/>
            <w:bottom w:val="none" w:sz="0" w:space="0" w:color="auto"/>
            <w:right w:val="none" w:sz="0" w:space="0" w:color="auto"/>
          </w:divBdr>
        </w:div>
        <w:div w:id="1179395763">
          <w:marLeft w:val="0"/>
          <w:marRight w:val="0"/>
          <w:marTop w:val="0"/>
          <w:marBottom w:val="0"/>
          <w:divBdr>
            <w:top w:val="none" w:sz="0" w:space="0" w:color="auto"/>
            <w:left w:val="none" w:sz="0" w:space="0" w:color="auto"/>
            <w:bottom w:val="none" w:sz="0" w:space="0" w:color="auto"/>
            <w:right w:val="none" w:sz="0" w:space="0" w:color="auto"/>
          </w:divBdr>
        </w:div>
        <w:div w:id="990712490">
          <w:marLeft w:val="0"/>
          <w:marRight w:val="0"/>
          <w:marTop w:val="0"/>
          <w:marBottom w:val="0"/>
          <w:divBdr>
            <w:top w:val="none" w:sz="0" w:space="0" w:color="auto"/>
            <w:left w:val="none" w:sz="0" w:space="0" w:color="auto"/>
            <w:bottom w:val="none" w:sz="0" w:space="0" w:color="auto"/>
            <w:right w:val="none" w:sz="0" w:space="0" w:color="auto"/>
          </w:divBdr>
        </w:div>
      </w:divsChild>
    </w:div>
    <w:div w:id="513883490">
      <w:bodyDiv w:val="1"/>
      <w:marLeft w:val="0"/>
      <w:marRight w:val="0"/>
      <w:marTop w:val="0"/>
      <w:marBottom w:val="0"/>
      <w:divBdr>
        <w:top w:val="none" w:sz="0" w:space="0" w:color="auto"/>
        <w:left w:val="none" w:sz="0" w:space="0" w:color="auto"/>
        <w:bottom w:val="none" w:sz="0" w:space="0" w:color="auto"/>
        <w:right w:val="none" w:sz="0" w:space="0" w:color="auto"/>
      </w:divBdr>
    </w:div>
    <w:div w:id="642151724">
      <w:bodyDiv w:val="1"/>
      <w:marLeft w:val="0"/>
      <w:marRight w:val="0"/>
      <w:marTop w:val="0"/>
      <w:marBottom w:val="0"/>
      <w:divBdr>
        <w:top w:val="none" w:sz="0" w:space="0" w:color="auto"/>
        <w:left w:val="none" w:sz="0" w:space="0" w:color="auto"/>
        <w:bottom w:val="none" w:sz="0" w:space="0" w:color="auto"/>
        <w:right w:val="none" w:sz="0" w:space="0" w:color="auto"/>
      </w:divBdr>
    </w:div>
    <w:div w:id="1341812089">
      <w:bodyDiv w:val="1"/>
      <w:marLeft w:val="0"/>
      <w:marRight w:val="0"/>
      <w:marTop w:val="0"/>
      <w:marBottom w:val="0"/>
      <w:divBdr>
        <w:top w:val="none" w:sz="0" w:space="0" w:color="auto"/>
        <w:left w:val="none" w:sz="0" w:space="0" w:color="auto"/>
        <w:bottom w:val="none" w:sz="0" w:space="0" w:color="auto"/>
        <w:right w:val="none" w:sz="0" w:space="0" w:color="auto"/>
      </w:divBdr>
    </w:div>
    <w:div w:id="1525554798">
      <w:bodyDiv w:val="1"/>
      <w:marLeft w:val="0"/>
      <w:marRight w:val="0"/>
      <w:marTop w:val="0"/>
      <w:marBottom w:val="0"/>
      <w:divBdr>
        <w:top w:val="none" w:sz="0" w:space="0" w:color="auto"/>
        <w:left w:val="none" w:sz="0" w:space="0" w:color="auto"/>
        <w:bottom w:val="none" w:sz="0" w:space="0" w:color="auto"/>
        <w:right w:val="none" w:sz="0" w:space="0" w:color="auto"/>
      </w:divBdr>
      <w:divsChild>
        <w:div w:id="362831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E38C2-FE3C-4DFD-AEE5-D6702312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6</Pages>
  <Words>1990</Words>
  <Characters>9990</Characters>
  <Application>Microsoft Office Word</Application>
  <DocSecurity>0</DocSecurity>
  <Lines>151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Antonio Romero Dorado</cp:lastModifiedBy>
  <cp:revision>54</cp:revision>
  <dcterms:created xsi:type="dcterms:W3CDTF">2017-10-22T07:43:00Z</dcterms:created>
  <dcterms:modified xsi:type="dcterms:W3CDTF">2018-02-04T11:35:00Z</dcterms:modified>
</cp:coreProperties>
</file>